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Baghdad</w:t>
      </w:r>
      <w:r>
        <w:t xml:space="preserve"> </w:t>
      </w:r>
      <w:r>
        <w:t xml:space="preserve">Basin</w:t>
      </w:r>
    </w:p>
    <w:bookmarkStart w:id="31" w:name="X4aa30aab88775a62c316a586de3640800246227"/>
    <w:p>
      <w:pPr>
        <w:pStyle w:val="Heading1"/>
      </w:pPr>
      <w:r>
        <w:t xml:space="preserve">Experiment Protocol: Chemical Enhanced Oil Recovery (EOR) in the Baghdad Basin</w:t>
      </w:r>
    </w:p>
    <w:p>
      <w:pPr>
        <w:pStyle w:val="FirstParagraph"/>
      </w:pPr>
      <w:r>
        <w:rPr>
          <w:bCs/>
          <w:b/>
        </w:rPr>
        <w:t xml:space="preserve">Protocol ID:</w:t>
      </w:r>
      <w:r>
        <w:t xml:space="preserve"> </w:t>
      </w:r>
      <w:r>
        <w:t xml:space="preserve">IQ-BG-PE-2023-042</w:t>
      </w:r>
    </w:p>
    <w:p>
      <w:pPr>
        <w:pStyle w:val="BodyText"/>
      </w:pPr>
      <w:r>
        <w:rPr>
          <w:bCs/>
          <w:b/>
        </w:rPr>
        <w:t xml:space="preserve">Location:</w:t>
      </w:r>
      <w:r>
        <w:t xml:space="preserve"> </w:t>
      </w:r>
      <w:r>
        <w:t xml:space="preserve">Baghdad Governorate, Iraq (Specifically targeting the Zubair Formation)</w:t>
      </w:r>
    </w:p>
    <w:p>
      <w:pPr>
        <w:pStyle w:val="BodyText"/>
      </w:pPr>
      <w:r>
        <w:rPr>
          <w:bCs/>
          <w:b/>
        </w:rPr>
        <w:t xml:space="preserve">Lead Discipline:</w:t>
      </w:r>
      <w:r>
        <w:t xml:space="preserve"> </w:t>
      </w:r>
      <w:r>
        <w:t xml:space="preserve">Petroleum Engineering</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Reservoir Engineering Team</w:t>
      </w:r>
    </w:p>
    <w:bookmarkStart w:id="20" w:name="introduction-and-objective"/>
    <w:p>
      <w:pPr>
        <w:pStyle w:val="Heading2"/>
      </w:pPr>
      <w:r>
        <w:t xml:space="preserve">1. Introduction and Objective</w:t>
      </w:r>
    </w:p>
    <w:p>
      <w:pPr>
        <w:pStyle w:val="FirstParagraph"/>
      </w:pPr>
      <w:r>
        <w:t xml:space="preserve">This Experiment Protocol outlines the procedures for conducting a pilot-scale Chemical Enhanced Oil Recovery (EOR) study within the oil fields of the Baghdad Basin, Iraq. The primary objective is to evaluate the efficacy of polymer flooding in improving sweep efficiency and increasing oil recovery rates from mature carbonate reservoirs. Given the geological complexity and the high salinity of formation water characteristic of the Baghdad region, this protocol is designed to test specific chemical formulations under simulated downhole conditions.</w:t>
      </w:r>
    </w:p>
    <w:p>
      <w:pPr>
        <w:pStyle w:val="BodyText"/>
      </w:pPr>
      <w:r>
        <w:t xml:space="preserve">The Petroleum Engineer leading this study aims to optimize production parameters while adhering to the strict environmental and operational regulations set forth by the Ministry of Oil in Iraq.</w:t>
      </w:r>
    </w:p>
    <w:bookmarkEnd w:id="20"/>
    <w:bookmarkStart w:id="21" w:name="scope-and-site-description"/>
    <w:p>
      <w:pPr>
        <w:pStyle w:val="Heading2"/>
      </w:pPr>
      <w:r>
        <w:t xml:space="preserve">2. Scope and Site Description</w:t>
      </w:r>
    </w:p>
    <w:p>
      <w:pPr>
        <w:pStyle w:val="FirstParagraph"/>
      </w:pPr>
      <w:r>
        <w:t xml:space="preserve">The experiment will be conducted in a controlled laboratory setting in Baghdad, utilizing core samples extracted from the Zubair Formation. This formation is known for its high porosity but complex fracture networks. The scope includes:</w:t>
      </w:r>
    </w:p>
    <w:p>
      <w:pPr>
        <w:numPr>
          <w:ilvl w:val="0"/>
          <w:numId w:val="1001"/>
        </w:numPr>
        <w:pStyle w:val="Compact"/>
      </w:pPr>
      <w:r>
        <w:t xml:space="preserve">Core flooding experiments to measure relative permeability changes.</w:t>
      </w:r>
    </w:p>
    <w:p>
      <w:pPr>
        <w:numPr>
          <w:ilvl w:val="0"/>
          <w:numId w:val="1001"/>
        </w:numPr>
        <w:pStyle w:val="Compact"/>
      </w:pPr>
      <w:r>
        <w:t xml:space="preserve">Viscosity testing of polymer solutions at reservoir temperatures (approx. 85°C).</w:t>
      </w:r>
    </w:p>
    <w:p>
      <w:pPr>
        <w:numPr>
          <w:ilvl w:val="0"/>
          <w:numId w:val="1001"/>
        </w:numPr>
        <w:pStyle w:val="Compact"/>
      </w:pPr>
      <w:r>
        <w:t xml:space="preserve">Compatibility testing between injected chemicals and high-salinity formation brine.</w:t>
      </w:r>
    </w:p>
    <w:p>
      <w:pPr>
        <w:pStyle w:val="FirstParagraph"/>
      </w:pPr>
      <w:r>
        <w:rPr>
          <w:bCs/>
          <w:b/>
        </w:rPr>
        <w:t xml:space="preserve">Health, Safety, and Environment (HSE) Notice:</w:t>
      </w:r>
      <w:r>
        <w:t xml:space="preserve"> </w:t>
      </w:r>
      <w:r>
        <w:t xml:space="preserve">All personnel must adhere to the HSE standards of the Iraqi Ministry of Oil. Personal Protective Equipment (PPE) including chemical-resistant gloves, goggles, and lab coats is mandatory. Due to the volatile nature of hydrocarbons, all experiments must be conducted in a fume hood with proper ventilation.</w:t>
      </w:r>
    </w:p>
    <w:bookmarkEnd w:id="21"/>
    <w:bookmarkStart w:id="22" w:name="materials-and-equipment"/>
    <w:p>
      <w:pPr>
        <w:pStyle w:val="Heading2"/>
      </w:pPr>
      <w:r>
        <w:t xml:space="preserve">3. Materials and Equipment</w:t>
      </w:r>
    </w:p>
    <w:p>
      <w:pPr>
        <w:pStyle w:val="FirstParagraph"/>
      </w:pPr>
      <w:r>
        <w:t xml:space="preserve">The following materials are required for the Petroleum Engineer to execute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Intact Zubair Formation limestone cores (5cm diameter, 10cm length)</w:t>
            </w:r>
          </w:p>
        </w:tc>
        <w:tc>
          <w:tcPr/>
          <w:p>
            <w:pPr>
              <w:pStyle w:val="Compact"/>
              <w:jc w:val="left"/>
            </w:pPr>
            <w:r>
              <w:t xml:space="preserve">6 Units</w:t>
            </w:r>
          </w:p>
        </w:tc>
      </w:tr>
      <w:tr>
        <w:tc>
          <w:tcPr/>
          <w:p>
            <w:pPr>
              <w:pStyle w:val="Compact"/>
              <w:jc w:val="left"/>
            </w:pPr>
            <w:r>
              <w:t xml:space="preserve">Core Holder</w:t>
            </w:r>
          </w:p>
        </w:tc>
        <w:tc>
          <w:tcPr/>
          <w:p>
            <w:pPr>
              <w:pStyle w:val="Compact"/>
              <w:jc w:val="left"/>
            </w:pPr>
            <w:r>
              <w:t xml:space="preserve">High-pressure, high-temperature (HPHT) stainless steel holder</w:t>
            </w:r>
          </w:p>
        </w:tc>
        <w:tc>
          <w:tcPr/>
          <w:p>
            <w:pPr>
              <w:pStyle w:val="Compact"/>
              <w:jc w:val="left"/>
            </w:pPr>
            <w:r>
              <w:t xml:space="preserve">2 Units</w:t>
            </w:r>
          </w:p>
        </w:tc>
      </w:tr>
      <w:tr>
        <w:tc>
          <w:tcPr/>
          <w:p>
            <w:pPr>
              <w:pStyle w:val="Compact"/>
              <w:jc w:val="left"/>
            </w:pPr>
            <w:r>
              <w:t xml:space="preserve">Polymer Solution</w:t>
            </w:r>
          </w:p>
        </w:tc>
        <w:tc>
          <w:tcPr/>
          <w:p>
            <w:pPr>
              <w:pStyle w:val="Compact"/>
              <w:jc w:val="left"/>
            </w:pPr>
            <w:r>
              <w:t xml:space="preserve">Partially Hydrolyzed Polyacrylamide (HPAM)</w:t>
            </w:r>
          </w:p>
        </w:tc>
        <w:tc>
          <w:tcPr/>
          <w:p>
            <w:pPr>
              <w:pStyle w:val="Compact"/>
              <w:jc w:val="left"/>
            </w:pPr>
            <w:r>
              <w:t xml:space="preserve">5 Liters</w:t>
            </w:r>
          </w:p>
        </w:tc>
      </w:tr>
      <w:tr>
        <w:tc>
          <w:tcPr/>
          <w:p>
            <w:pPr>
              <w:pStyle w:val="Compact"/>
              <w:jc w:val="left"/>
            </w:pPr>
            <w:r>
              <w:t xml:space="preserve">Formation Brine</w:t>
            </w:r>
          </w:p>
        </w:tc>
        <w:tc>
          <w:tcPr/>
          <w:p>
            <w:pPr>
              <w:pStyle w:val="Compact"/>
              <w:jc w:val="left"/>
            </w:pPr>
            <w:r>
              <w:t xml:space="preserve">Synthetic brine matching Baghdad basin salinity (150,000 ppm TDS)</w:t>
            </w:r>
          </w:p>
        </w:tc>
        <w:tc>
          <w:tcPr/>
          <w:p>
            <w:pPr>
              <w:pStyle w:val="Compact"/>
              <w:jc w:val="left"/>
            </w:pPr>
            <w:r>
              <w:t xml:space="preserve">20 Liters</w:t>
            </w:r>
          </w:p>
        </w:tc>
      </w:tr>
      <w:tr>
        <w:tc>
          <w:tcPr/>
          <w:p>
            <w:pPr>
              <w:pStyle w:val="Compact"/>
              <w:jc w:val="left"/>
            </w:pPr>
            <w:r>
              <w:t xml:space="preserve">Pressure Transducers</w:t>
            </w:r>
          </w:p>
        </w:tc>
        <w:tc>
          <w:tcPr/>
          <w:p>
            <w:pPr>
              <w:pStyle w:val="Compact"/>
              <w:jc w:val="left"/>
            </w:pPr>
            <w:r>
              <w:t xml:space="preserve">Range: 0-10,000 psi</w:t>
            </w:r>
          </w:p>
        </w:tc>
        <w:tc>
          <w:tcPr/>
          <w:p>
            <w:pPr>
              <w:pStyle w:val="Compact"/>
              <w:jc w:val="left"/>
            </w:pPr>
            <w:r>
              <w:t xml:space="preserve">4 Units</w:t>
            </w:r>
          </w:p>
        </w:tc>
      </w:tr>
    </w:tbl>
    <w:bookmarkEnd w:id="22"/>
    <w:bookmarkStart w:id="28" w:name="experimental-procedure"/>
    <w:p>
      <w:pPr>
        <w:pStyle w:val="Heading2"/>
      </w:pPr>
      <w:r>
        <w:t xml:space="preserve">4. Experimental Procedure</w:t>
      </w:r>
    </w:p>
    <w:p>
      <w:pPr>
        <w:pStyle w:val="FirstParagraph"/>
      </w:pPr>
      <w:r>
        <w:t xml:space="preserve">The Petroleum Engineer must follow these steps sequentially to ensure data integrity and safety.</w:t>
      </w:r>
    </w:p>
    <w:bookmarkStart w:id="23" w:name="sample-preparation"/>
    <w:p>
      <w:pPr>
        <w:pStyle w:val="Heading3"/>
      </w:pPr>
      <w:r>
        <w:t xml:space="preserve">4.1. Sample Preparation</w:t>
      </w:r>
    </w:p>
    <w:p>
      <w:pPr>
        <w:pStyle w:val="FirstParagraph"/>
      </w:pPr>
      <w:r>
        <w:t xml:space="preserve">Clean the core samples using toluene and methanol to remove existing hydrocarbons. Dry the cores in an oven at 60°C for 24 hours. Measure the initial weight and dimensions of each core to calculate porosity and permeability using the gas permeameter method.</w:t>
      </w:r>
    </w:p>
    <w:bookmarkEnd w:id="23"/>
    <w:bookmarkStart w:id="24" w:name="saturation"/>
    <w:p>
      <w:pPr>
        <w:pStyle w:val="Heading3"/>
      </w:pPr>
      <w:r>
        <w:t xml:space="preserve">4.2. Saturation</w:t>
      </w:r>
    </w:p>
    <w:p>
      <w:pPr>
        <w:pStyle w:val="FirstParagraph"/>
      </w:pPr>
      <w:r>
        <w:t xml:space="preserve">Saturate the cores with synthetic formation brine under vacuum for 48 hours to ensure complete pore filling. This step is critical to simulate the actual reservoir conditions found in the Baghdad fields.</w:t>
      </w:r>
    </w:p>
    <w:bookmarkEnd w:id="24"/>
    <w:bookmarkStart w:id="25" w:name="water-flooding-baseline"/>
    <w:p>
      <w:pPr>
        <w:pStyle w:val="Heading3"/>
      </w:pPr>
      <w:r>
        <w:t xml:space="preserve">4.3. Water Flooding (Baseline)</w:t>
      </w:r>
    </w:p>
    <w:p>
      <w:pPr>
        <w:pStyle w:val="FirstParagraph"/>
      </w:pPr>
      <w:r>
        <w:t xml:space="preserve">Inject formation brine at a constant flow rate of 1 cc/min until breakthrough is observed. Record the pressure drop across the core and the volume of oil produced. This establishes the baseline recovery factor for secondary recovery methods.</w:t>
      </w:r>
    </w:p>
    <w:bookmarkEnd w:id="25"/>
    <w:bookmarkStart w:id="26" w:name="polymer-injection"/>
    <w:p>
      <w:pPr>
        <w:pStyle w:val="Heading3"/>
      </w:pPr>
      <w:r>
        <w:t xml:space="preserve">4.4. Polymer Injection</w:t>
      </w:r>
    </w:p>
    <w:p>
      <w:pPr>
        <w:pStyle w:val="FirstParagraph"/>
      </w:pPr>
      <w:r>
        <w:t xml:space="preserve">Prepare the HPAM polymer solution at a concentration of 1000 ppm. Inject the polymer slug into the core holder at the same flow rate as the water flooding stage. Monitor the viscosity of the effluent and the pressure differential. The Petroleum Engineer must note any signs of polymer degradation or plugging, which are common risks in high-temperature Iraqi reservoirs.</w:t>
      </w:r>
    </w:p>
    <w:bookmarkEnd w:id="26"/>
    <w:bookmarkStart w:id="27" w:name="post-experiment-analysis"/>
    <w:p>
      <w:pPr>
        <w:pStyle w:val="Heading3"/>
      </w:pPr>
      <w:r>
        <w:t xml:space="preserve">4.5. Post-Experiment Analysis</w:t>
      </w:r>
    </w:p>
    <w:p>
      <w:pPr>
        <w:pStyle w:val="FirstParagraph"/>
      </w:pPr>
      <w:r>
        <w:t xml:space="preserve">After the polymer slug is fully injected, follow with a chase water flood until no more oil is produced. Calculate the incremental oil recovery attributed to the polymer flooding. Analyze the effluent samples for polymer concentration to determine retention rates.</w:t>
      </w:r>
    </w:p>
    <w:bookmarkEnd w:id="27"/>
    <w:bookmarkEnd w:id="28"/>
    <w:bookmarkStart w:id="29" w:name="data-analysis-and-reporting"/>
    <w:p>
      <w:pPr>
        <w:pStyle w:val="Heading2"/>
      </w:pPr>
      <w:r>
        <w:t xml:space="preserve">5. Data Analysis and Reporting</w:t>
      </w:r>
    </w:p>
    <w:p>
      <w:pPr>
        <w:pStyle w:val="FirstParagraph"/>
      </w:pPr>
      <w:r>
        <w:t xml:space="preserve">The Petroleum Engineer is responsible for compiling the data into a comprehensive report. Key metrics to analyze include:</w:t>
      </w:r>
    </w:p>
    <w:p>
      <w:pPr>
        <w:numPr>
          <w:ilvl w:val="0"/>
          <w:numId w:val="1002"/>
        </w:numPr>
        <w:pStyle w:val="Compact"/>
      </w:pPr>
      <w:r>
        <w:rPr>
          <w:bCs/>
          <w:b/>
        </w:rPr>
        <w:t xml:space="preserve">Recovery Factor:</w:t>
      </w:r>
      <w:r>
        <w:t xml:space="preserve"> </w:t>
      </w:r>
      <w:r>
        <w:t xml:space="preserve">The percentage of original oil in place (OOIP) recovered.</w:t>
      </w:r>
    </w:p>
    <w:p>
      <w:pPr>
        <w:numPr>
          <w:ilvl w:val="0"/>
          <w:numId w:val="1002"/>
        </w:numPr>
        <w:pStyle w:val="Compact"/>
      </w:pPr>
      <w:r>
        <w:rPr>
          <w:bCs/>
          <w:b/>
        </w:rPr>
        <w:t xml:space="preserve">Viscosity Ratio:</w:t>
      </w:r>
      <w:r>
        <w:t xml:space="preserve"> </w:t>
      </w:r>
      <w:r>
        <w:t xml:space="preserve">The ratio of displacing fluid viscosity to displaced oil viscosity.</w:t>
      </w:r>
    </w:p>
    <w:p>
      <w:pPr>
        <w:numPr>
          <w:ilvl w:val="0"/>
          <w:numId w:val="1002"/>
        </w:numPr>
        <w:pStyle w:val="Compact"/>
      </w:pPr>
      <w:r>
        <w:rPr>
          <w:bCs/>
          <w:b/>
        </w:rPr>
        <w:t xml:space="preserve">Pressure Drop:</w:t>
      </w:r>
      <w:r>
        <w:t xml:space="preserve"> </w:t>
      </w:r>
      <w:r>
        <w:t xml:space="preserve">Indicators of flow resistance and potential formation damage.</w:t>
      </w:r>
    </w:p>
    <w:p>
      <w:pPr>
        <w:pStyle w:val="FirstParagraph"/>
      </w:pPr>
      <w:r>
        <w:t xml:space="preserve">The results will be compared against historical data from similar fields in the Baghdad Basin to determine the economic viability of scaling this EOR method to field operations.</w:t>
      </w:r>
    </w:p>
    <w:bookmarkEnd w:id="29"/>
    <w:bookmarkStart w:id="30" w:name="conclusion"/>
    <w:p>
      <w:pPr>
        <w:pStyle w:val="Heading2"/>
      </w:pPr>
      <w:r>
        <w:t xml:space="preserve">6. Conclusion</w:t>
      </w:r>
    </w:p>
    <w:p>
      <w:pPr>
        <w:pStyle w:val="FirstParagraph"/>
      </w:pPr>
      <w:r>
        <w:t xml:space="preserve">This Experiment Protocol provides a rigorous framework for evaluating chemical EOR techniques in the context of Iraq's unique geological environment. By strictly adhering to these procedures, the Petroleum Engineer can generate reliable data that supports strategic decisions for maximizing oil production in the Baghdad region while maintaining operational safety and environmental stewardship.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Baghdad Basin</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