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Reservoir Simulation and Enhanced Oil Recovery (EOR) Feasibility Study</w:t>
      </w:r>
    </w:p>
    <w:p>
      <w:pPr>
        <w:pStyle w:val="BodyText"/>
      </w:pPr>
      <w:r>
        <w:rPr>
          <w:bCs/>
          <w:b/>
        </w:rPr>
        <w:t xml:space="preserve">Location:</w:t>
      </w:r>
      <w:r>
        <w:t xml:space="preserve"> </w:t>
      </w:r>
      <w:r>
        <w:t xml:space="preserve">Israel Tel Aviv, Energy Research &amp; Development Center</w:t>
      </w:r>
    </w:p>
    <w:p>
      <w:pPr>
        <w:pStyle w:val="BodyText"/>
      </w:pPr>
      <w:r>
        <w:rPr>
          <w:bCs/>
          <w:b/>
        </w:rPr>
        <w:t xml:space="preserve">Discipline:</w:t>
      </w:r>
      <w:r>
        <w:t xml:space="preserve"> </w:t>
      </w:r>
      <w:r>
        <w:t xml:space="preserve">Petroleum Engineer</w:t>
      </w:r>
    </w:p>
    <w:p>
      <w:pPr>
        <w:pStyle w:val="BodyText"/>
      </w:pPr>
      <w:r>
        <w:rPr>
          <w:bCs/>
          <w:b/>
        </w:rPr>
        <w:t xml:space="preserve">Protocol ID:</w:t>
      </w:r>
      <w:r>
        <w:t xml:space="preserve"> </w:t>
      </w:r>
      <w:r>
        <w:t xml:space="preserve">PE-TLV-2023-045</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methodology, safety procedures, and technical requirements for a comprehensive study conducted by a Petroleum Engineer within the jurisdiction of Israel Tel Aviv. The primary objective of this experiment is to evaluate the efficacy of chemical Enhanced Oil Recovery (EOR) techniques on depleted reservoir cores extracted from the offshore Levant Basin. Given the strategic importance of energy security in the region, this study aims to optimize extraction rates while adhering to the stringent environmental regulations enforced by the Israeli Ministry of Energy and Infrastructure.</w:t>
      </w:r>
    </w:p>
    <w:p>
      <w:pPr>
        <w:pStyle w:val="BodyText"/>
      </w:pPr>
      <w:r>
        <w:t xml:space="preserve">The Petroleum Engineer leading this protocol is responsible for ensuring that all experimental phases align with international standards (API, ISO) and local Israeli industrial codes. The experiment will simulate reservoir conditions to test polymer flooding efficiency, providing critical data for future field applications in the Tamar and Leviathan fields.</w:t>
      </w:r>
    </w:p>
    <w:p>
      <w:pPr>
        <w:pStyle w:val="BodyText"/>
      </w:pPr>
      <w:r>
        <w:t xml:space="preserve">2. Scope and Responsibilities</w:t>
      </w:r>
    </w:p>
    <w:p>
      <w:pPr>
        <w:pStyle w:val="BodyText"/>
      </w:pPr>
      <w:r>
        <w:t xml:space="preserve">The scope of this Experiment Protocol encompasses the preparation of core samples, the setup of the high-pressure flow loop, the execution of the flooding experiment, and the subsequent data analysis. The Petroleum Engineer is the principal investigator and holds ultimate responsibility for the integrity of the data and the safety of the personnel in the Israel Tel Aviv laboratory facility.</w:t>
      </w:r>
    </w:p>
    <w:p>
      <w:pPr>
        <w:pStyle w:val="BodyText"/>
      </w:pPr>
      <w:r>
        <w:t xml:space="preserve">Specific responsibilities include:</w:t>
      </w:r>
    </w:p>
    <w:p>
      <w:pPr>
        <w:numPr>
          <w:ilvl w:val="0"/>
          <w:numId w:val="1001"/>
        </w:numPr>
        <w:pStyle w:val="Compact"/>
      </w:pPr>
      <w:r>
        <w:t xml:space="preserve">Calibration of all pressure and temperature sensors to ensure accuracy within 0.5%.</w:t>
      </w:r>
    </w:p>
    <w:p>
      <w:pPr>
        <w:numPr>
          <w:ilvl w:val="0"/>
          <w:numId w:val="1001"/>
        </w:numPr>
        <w:pStyle w:val="Compact"/>
      </w:pPr>
      <w:r>
        <w:t xml:space="preserve">Verification of chemical compatibility with the specific lithology of the Levant Basin cores.</w:t>
      </w:r>
    </w:p>
    <w:p>
      <w:pPr>
        <w:numPr>
          <w:ilvl w:val="0"/>
          <w:numId w:val="1001"/>
        </w:numPr>
        <w:pStyle w:val="Compact"/>
      </w:pPr>
      <w:r>
        <w:t xml:space="preserve">Compliance with the Israeli Standards Institute (SII) regulations regarding hazardous materials handling.</w:t>
      </w:r>
    </w:p>
    <w:p>
      <w:pPr>
        <w:numPr>
          <w:ilvl w:val="0"/>
          <w:numId w:val="1001"/>
        </w:numPr>
        <w:pStyle w:val="Compact"/>
      </w:pPr>
      <w:r>
        <w:t xml:space="preserve">Documentation of all procedural deviations in the official laboratory log.</w:t>
      </w:r>
    </w:p>
    <w:p>
      <w:pPr>
        <w:pStyle w:val="FirstParagraph"/>
      </w:pPr>
      <w:r>
        <w:t xml:space="preserve">3. Materials and Equipment</w:t>
      </w:r>
    </w:p>
    <w:p>
      <w:pPr>
        <w:pStyle w:val="BodyText"/>
      </w:pPr>
      <w:r>
        <w:t xml:space="preserve">The following equipment and materials are required for the execution of this protocol in the Israel Tel Aviv facility: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Holder</w:t>
            </w:r>
          </w:p>
        </w:tc>
        <w:tc>
          <w:tcPr/>
          <w:p>
            <w:pPr>
              <w:pStyle w:val="Compact"/>
              <w:jc w:val="left"/>
            </w:pPr>
            <w:r>
              <w:t xml:space="preserve">High-pressure, triaxial, capable of 10,000 psi</w:t>
            </w:r>
          </w:p>
        </w:tc>
        <w:tc>
          <w:tcPr/>
          <w:p>
            <w:pPr>
              <w:pStyle w:val="Compact"/>
              <w:jc w:val="left"/>
            </w:pPr>
            <w:r>
              <w:t xml:space="preserve">2</w:t>
            </w:r>
          </w:p>
        </w:tc>
      </w:tr>
      <w:tr>
        <w:tc>
          <w:tcPr/>
          <w:p>
            <w:pPr>
              <w:pStyle w:val="Compact"/>
              <w:jc w:val="left"/>
            </w:pPr>
            <w:r>
              <w:t xml:space="preserve">Core Samples</w:t>
            </w:r>
          </w:p>
        </w:tc>
        <w:tc>
          <w:tcPr/>
          <w:p>
            <w:pPr>
              <w:pStyle w:val="Compact"/>
              <w:jc w:val="left"/>
            </w:pPr>
            <w:r>
              <w:t xml:space="preserve">Limestone, 2-inch diameter, 4-inch length (Levant Basin)</w:t>
            </w:r>
          </w:p>
        </w:tc>
        <w:tc>
          <w:tcPr/>
          <w:p>
            <w:pPr>
              <w:pStyle w:val="Compact"/>
              <w:jc w:val="left"/>
            </w:pPr>
            <w:r>
              <w:t xml:space="preserve">4</w:t>
            </w:r>
          </w:p>
        </w:tc>
      </w:tr>
      <w:tr>
        <w:tc>
          <w:tcPr/>
          <w:p>
            <w:pPr>
              <w:pStyle w:val="Compact"/>
              <w:jc w:val="left"/>
            </w:pPr>
            <w:r>
              <w:t xml:space="preserve">Injection Pumps</w:t>
            </w:r>
          </w:p>
        </w:tc>
        <w:tc>
          <w:tcPr/>
          <w:p>
            <w:pPr>
              <w:pStyle w:val="Compact"/>
              <w:jc w:val="left"/>
            </w:pPr>
            <w:r>
              <w:t xml:space="preserve">High-pressure syringe pumps, precise flow control</w:t>
            </w:r>
          </w:p>
        </w:tc>
        <w:tc>
          <w:tcPr/>
          <w:p>
            <w:pPr>
              <w:pStyle w:val="Compact"/>
              <w:jc w:val="left"/>
            </w:pPr>
            <w:r>
              <w:t xml:space="preserve">3</w:t>
            </w:r>
          </w:p>
        </w:tc>
      </w:tr>
      <w:tr>
        <w:tc>
          <w:tcPr/>
          <w:p>
            <w:pPr>
              <w:pStyle w:val="Compact"/>
              <w:jc w:val="left"/>
            </w:pPr>
            <w:r>
              <w:t xml:space="preserve">Brine Solution</w:t>
            </w:r>
          </w:p>
        </w:tc>
        <w:tc>
          <w:tcPr/>
          <w:p>
            <w:pPr>
              <w:pStyle w:val="Compact"/>
              <w:jc w:val="left"/>
            </w:pPr>
            <w:r>
              <w:t xml:space="preserve">Synthetic formation water, 150,000 ppm TDS</w:t>
            </w:r>
          </w:p>
        </w:tc>
        <w:tc>
          <w:tcPr/>
          <w:p>
            <w:pPr>
              <w:pStyle w:val="Compact"/>
              <w:jc w:val="left"/>
            </w:pPr>
            <w:r>
              <w:t xml:space="preserve">50 Liters</w:t>
            </w:r>
          </w:p>
        </w:tc>
      </w:tr>
      <w:tr>
        <w:tc>
          <w:tcPr/>
          <w:p>
            <w:pPr>
              <w:pStyle w:val="Compact"/>
              <w:jc w:val="left"/>
            </w:pPr>
            <w:r>
              <w:t xml:space="preserve">Polymer Solution</w:t>
            </w:r>
          </w:p>
        </w:tc>
        <w:tc>
          <w:tcPr/>
          <w:p>
            <w:pPr>
              <w:pStyle w:val="Compact"/>
              <w:jc w:val="left"/>
            </w:pPr>
            <w:r>
              <w:t xml:space="preserve">HPAM (Partially Hydrolyzed Polyacrylamide)</w:t>
            </w:r>
          </w:p>
        </w:tc>
        <w:tc>
          <w:tcPr/>
          <w:p>
            <w:pPr>
              <w:pStyle w:val="Compact"/>
              <w:jc w:val="left"/>
            </w:pPr>
            <w:r>
              <w:t xml:space="preserve">10 Liters</w:t>
            </w:r>
          </w:p>
        </w:tc>
      </w:tr>
      <w:tr>
        <w:tc>
          <w:tcPr/>
          <w:p>
            <w:pPr>
              <w:pStyle w:val="Compact"/>
              <w:jc w:val="left"/>
            </w:pPr>
            <w:r>
              <w:t xml:space="preserve">Data Acquisition System</w:t>
            </w:r>
          </w:p>
        </w:tc>
        <w:tc>
          <w:tcPr/>
          <w:p>
            <w:pPr>
              <w:pStyle w:val="Compact"/>
              <w:jc w:val="left"/>
            </w:pPr>
            <w:r>
              <w:t xml:space="preserve">Real-time pressure and flow monitoring software</w:t>
            </w:r>
          </w:p>
        </w:tc>
        <w:tc>
          <w:tcPr/>
          <w:p>
            <w:pPr>
              <w:pStyle w:val="Compact"/>
              <w:jc w:val="left"/>
            </w:pPr>
            <w:r>
              <w:t xml:space="preserve">1</w:t>
            </w:r>
          </w:p>
        </w:tc>
      </w:tr>
    </w:tbl>
    <w:p>
      <w:pPr>
        <w:pStyle w:val="BodyText"/>
      </w:pPr>
      <w:r>
        <w:t xml:space="preserve">4. Experimental Procedure</w:t>
      </w:r>
    </w:p>
    <w:p>
      <w:pPr>
        <w:pStyle w:val="BodyText"/>
      </w:pPr>
      <w:r>
        <w:t xml:space="preserve">The Petroleum Engineer must execute the following steps in strict chronological order:</w:t>
      </w:r>
    </w:p>
    <w:p>
      <w:pPr>
        <w:numPr>
          <w:ilvl w:val="0"/>
          <w:numId w:val="1002"/>
        </w:numPr>
        <w:pStyle w:val="Compact"/>
      </w:pPr>
      <w:r>
        <w:rPr>
          <w:bCs/>
          <w:b/>
        </w:rPr>
        <w:t xml:space="preserve">Sample Preparation:</w:t>
      </w:r>
      <w:r>
        <w:t xml:space="preserve"> </w:t>
      </w:r>
      <w:r>
        <w:t xml:space="preserve">Clean the core samples using toluene and methanol to remove existing hydrocarbons. Saturate the cores with synthetic brine under vacuum to ensure 100% water saturation.</w:t>
      </w:r>
    </w:p>
    <w:p>
      <w:pPr>
        <w:numPr>
          <w:ilvl w:val="0"/>
          <w:numId w:val="1002"/>
        </w:numPr>
        <w:pStyle w:val="Compact"/>
      </w:pPr>
      <w:r>
        <w:rPr>
          <w:bCs/>
          <w:b/>
        </w:rPr>
        <w:t xml:space="preserve">System Setup:</w:t>
      </w:r>
      <w:r>
        <w:t xml:space="preserve"> </w:t>
      </w:r>
      <w:r>
        <w:t xml:space="preserve">Install the core samples into the core holders within the Israel Tel Aviv laboratory. Apply confining pressure to simulate in-situ stress conditions of the reservoir (approximately 5,000 psi).</w:t>
      </w:r>
    </w:p>
    <w:p>
      <w:pPr>
        <w:numPr>
          <w:ilvl w:val="0"/>
          <w:numId w:val="1002"/>
        </w:numPr>
        <w:pStyle w:val="Compact"/>
      </w:pPr>
      <w:r>
        <w:rPr>
          <w:bCs/>
          <w:b/>
        </w:rPr>
        <w:t xml:space="preserve">Baseline Measurement:</w:t>
      </w:r>
      <w:r>
        <w:t xml:space="preserve"> </w:t>
      </w:r>
      <w:r>
        <w:t xml:space="preserve">Inject brine at a constant rate to measure the initial permeability and porosity of the rock samples. Record all pressure differentials across the core.</w:t>
      </w:r>
    </w:p>
    <w:p>
      <w:pPr>
        <w:numPr>
          <w:ilvl w:val="0"/>
          <w:numId w:val="1002"/>
        </w:numPr>
        <w:pStyle w:val="Compact"/>
      </w:pPr>
      <w:r>
        <w:rPr>
          <w:bCs/>
          <w:b/>
        </w:rPr>
        <w:t xml:space="preserve">Primary Recovery Simulation:</w:t>
      </w:r>
      <w:r>
        <w:t xml:space="preserve"> </w:t>
      </w:r>
      <w:r>
        <w:t xml:space="preserve">Inject a gas phase to simulate primary depletion, reducing the reservoir pressure to the target level.</w:t>
      </w:r>
    </w:p>
    <w:p>
      <w:pPr>
        <w:numPr>
          <w:ilvl w:val="0"/>
          <w:numId w:val="1002"/>
        </w:numPr>
        <w:pStyle w:val="Compact"/>
      </w:pPr>
      <w:r>
        <w:rPr>
          <w:bCs/>
          <w:b/>
        </w:rPr>
        <w:t xml:space="preserve">EOR Injection:</w:t>
      </w:r>
      <w:r>
        <w:t xml:space="preserve"> </w:t>
      </w:r>
      <w:r>
        <w:t xml:space="preserve">Begin the injection of the polymer solution. The Petroleum Engineer must monitor the viscosity changes and pressure response closely. Adjust injection rates if pressure exceeds safety thresholds.</w:t>
      </w:r>
    </w:p>
    <w:p>
      <w:pPr>
        <w:numPr>
          <w:ilvl w:val="0"/>
          <w:numId w:val="1002"/>
        </w:numPr>
        <w:pStyle w:val="Compact"/>
      </w:pPr>
      <w:r>
        <w:rPr>
          <w:bCs/>
          <w:b/>
        </w:rPr>
        <w:t xml:space="preserve">Flush Phase:</w:t>
      </w:r>
      <w:r>
        <w:t xml:space="preserve"> </w:t>
      </w:r>
      <w:r>
        <w:t xml:space="preserve">Follow the polymer injection with a brine flush to push the polymer bank through the core.</w:t>
      </w:r>
    </w:p>
    <w:p>
      <w:pPr>
        <w:numPr>
          <w:ilvl w:val="0"/>
          <w:numId w:val="1002"/>
        </w:numPr>
        <w:pStyle w:val="Compact"/>
      </w:pPr>
      <w:r>
        <w:rPr>
          <w:bCs/>
          <w:b/>
        </w:rPr>
        <w:t xml:space="preserve">Termination:</w:t>
      </w:r>
      <w:r>
        <w:t xml:space="preserve"> </w:t>
      </w:r>
      <w:r>
        <w:t xml:space="preserve">Once the breakthrough is observed and stabilized, cease injection. Depressurize the system slowly according to safety protocols.</w:t>
      </w:r>
    </w:p>
    <w:p>
      <w:pPr>
        <w:pStyle w:val="FirstParagraph"/>
      </w:pPr>
      <w:r>
        <w:t xml:space="preserve">5. Safety and Environmental Compliance</w:t>
      </w:r>
    </w:p>
    <w:p>
      <w:pPr>
        <w:pStyle w:val="BodyText"/>
      </w:pPr>
      <w:r>
        <w:t xml:space="preserve">Safety is paramount in this Experiment Protocol. The Petroleum Engineer must ensure that all personnel in the Israel Tel Aviv facility are wearing appropriate Personal Protective Equipment (PPE), including safety goggles, chemical-resistant gloves, and lab coats.</w:t>
      </w:r>
    </w:p>
    <w:p>
      <w:pPr>
        <w:pStyle w:val="BodyText"/>
      </w:pPr>
      <w:r>
        <w:t xml:space="preserve">Given the location in Israel Tel Aviv, the experiment must adhere to local environmental laws regarding the disposal of chemical waste. All polymer solutions and brine waste must be collected in designated hazardous waste containers and disposed of by a licensed contractor approved by the Israeli Ministry of Environmental Protection. In the event of a chemical spill, the emergency response plan specific to the Tel Aviv facility must be activated immediately.</w:t>
      </w:r>
    </w:p>
    <w:p>
      <w:pPr>
        <w:pStyle w:val="BodyText"/>
      </w:pPr>
      <w:r>
        <w:t xml:space="preserve">6. Data Analysis and Reporting</w:t>
      </w:r>
    </w:p>
    <w:p>
      <w:pPr>
        <w:pStyle w:val="BodyText"/>
      </w:pPr>
      <w:r>
        <w:t xml:space="preserve">Upon completion of the experiment, the Petroleum Engineer will analyze the collected data to determine the incremental oil recovery factor achieved by the polymer flooding. Key metrics include:</w:t>
      </w:r>
    </w:p>
    <w:p>
      <w:pPr>
        <w:numPr>
          <w:ilvl w:val="0"/>
          <w:numId w:val="1003"/>
        </w:numPr>
        <w:pStyle w:val="Compact"/>
      </w:pPr>
      <w:r>
        <w:t xml:space="preserve">Relative permeability curves.</w:t>
      </w:r>
    </w:p>
    <w:p>
      <w:pPr>
        <w:numPr>
          <w:ilvl w:val="0"/>
          <w:numId w:val="1003"/>
        </w:numPr>
        <w:pStyle w:val="Compact"/>
      </w:pPr>
      <w:r>
        <w:t xml:space="preserve">Pressure drop across the core during injection.</w:t>
      </w:r>
    </w:p>
    <w:p>
      <w:pPr>
        <w:numPr>
          <w:ilvl w:val="0"/>
          <w:numId w:val="1003"/>
        </w:numPr>
        <w:pStyle w:val="Compact"/>
      </w:pPr>
      <w:r>
        <w:t xml:space="preserve">Total volume of oil recovered compared to baseline.</w:t>
      </w:r>
    </w:p>
    <w:p>
      <w:pPr>
        <w:pStyle w:val="FirstParagraph"/>
      </w:pPr>
      <w:r>
        <w:t xml:space="preserve">A final report will be generated, detailing the findings and recommending whether this EOR technique is viable for implementation in the offshore fields near Israel Tel Aviv. The report will be submitted to the project stakeholders and archived in accordance with company policy.</w:t>
      </w:r>
    </w:p>
    <w:p>
      <w:pPr>
        <w:pStyle w:val="BodyText"/>
      </w:pPr>
      <w:r>
        <w:t xml:space="preserve">7. Approval and Signatures</w:t>
      </w:r>
    </w:p>
    <w:p>
      <w:pPr>
        <w:pStyle w:val="BodyText"/>
      </w:pPr>
      <w:r>
        <w:t xml:space="preserve">By signing below, the Petroleum Engineer acknowledges that they have read, understood, and will adhere to this Experiment Protocol.</w:t>
      </w:r>
    </w:p>
    <w:p>
      <w:pPr>
        <w:pStyle w:val="BodyText"/>
      </w:pPr>
      <w:r>
        <w:rPr>
          <w:bCs/>
          <w:b/>
        </w:rPr>
        <w:t xml:space="preserve">Petroleum Engineer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Lab Supervisor (Israel Tel Aviv):</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Israel Tel Aviv</dc:title>
  <dc:creator/>
  <dc:language>en</dc:language>
  <cp:keywords/>
  <dcterms:created xsi:type="dcterms:W3CDTF">2026-10-10T04:02:05Z</dcterms:created>
  <dcterms:modified xsi:type="dcterms:W3CDTF">2026-10-10T04:02:05Z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