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Tokyo</w:t>
      </w:r>
      <w:r>
        <w:t xml:space="preserve"> </w:t>
      </w:r>
      <w:r>
        <w:t xml:space="preserve">Operations</w:t>
      </w:r>
    </w:p>
    <w:p>
      <w:pPr>
        <w:pStyle w:val="FirstParagraph"/>
      </w:pPr>
      <w:r>
        <w:rPr>
          <w:bCs/>
          <w:b/>
        </w:rPr>
        <w:t xml:space="preserve">Document ID:</w:t>
      </w:r>
      <w:r>
        <w:t xml:space="preserve"> </w:t>
      </w:r>
      <w:r>
        <w:t xml:space="preserve">TOK-PE-EXP-2023-089</w:t>
      </w:r>
      <w:r>
        <w:br/>
      </w:r>
      <w:r>
        <w:rPr>
          <w:bCs/>
          <w:b/>
        </w:rPr>
        <w:t xml:space="preserve">Version:</w:t>
      </w:r>
      <w:r>
        <w:t xml:space="preserve"> </w:t>
      </w:r>
      <w:r>
        <w:t xml:space="preserve">1.2</w:t>
      </w:r>
      <w:r>
        <w:br/>
      </w:r>
      <w:r>
        <w:rPr>
          <w:bCs/>
          <w:b/>
        </w:rPr>
        <w:t xml:space="preserve">Classification:</w:t>
      </w:r>
      <w:r>
        <w:t xml:space="preserve"> </w:t>
      </w:r>
      <w:r>
        <w:t xml:space="preserve">Internal Use Only</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Tokyo, Japan</w:t>
      </w:r>
      <w:r>
        <w:br/>
      </w:r>
      <w:r>
        <w:rPr>
          <w:bCs/>
          <w:b/>
        </w:rPr>
        <w:t xml:space="preserve">Department:</w:t>
      </w:r>
      <w:r>
        <w:t xml:space="preserve"> </w:t>
      </w:r>
      <w:r>
        <w:t xml:space="preserve">Reservoir Engineering &amp; Simulation</w:t>
      </w:r>
    </w:p>
    <w:bookmarkStart w:id="29" w:name="X03aae39e251bcb96a3d56f1eaf366bdb659717a"/>
    <w:p>
      <w:pPr>
        <w:pStyle w:val="Heading1"/>
      </w:pPr>
      <w:r>
        <w:t xml:space="preserve">Experiment Protocol: High-Pressure CO2 Injection for Enhanced Oil Recovery in Low-Permeability Reservoirs</w:t>
      </w:r>
    </w:p>
    <w:p>
      <w:pPr>
        <w:pStyle w:val="FirstParagraph"/>
      </w:pPr>
      <w:r>
        <w:rPr>
          <w:bCs/>
          <w:b/>
        </w:rPr>
        <w:t xml:space="preserve">Prepared for:</w:t>
      </w:r>
      <w:r>
        <w:t xml:space="preserve"> </w:t>
      </w:r>
      <w:r>
        <w:t xml:space="preserve">Advanced Energy Research Division, Tokyo Headquarters</w:t>
      </w:r>
      <w:r>
        <w:br/>
      </w:r>
      <w:r>
        <w:rPr>
          <w:bCs/>
          <w:b/>
        </w:rPr>
        <w:t xml:space="preserve">Prepared by:</w:t>
      </w:r>
      <w:r>
        <w:t xml:space="preserve"> </w:t>
      </w:r>
      <w:r>
        <w:t xml:space="preserve">Senior Petroleum Engineer Team</w:t>
      </w:r>
    </w:p>
    <w:bookmarkStart w:id="20" w:name="objective-and-scope"/>
    <w:p>
      <w:pPr>
        <w:pStyle w:val="Heading2"/>
      </w:pPr>
      <w:r>
        <w:t xml:space="preserve">1. Objective and Scope</w:t>
      </w:r>
    </w:p>
    <w:p>
      <w:pPr>
        <w:pStyle w:val="FirstParagraph"/>
      </w:pPr>
      <w:r>
        <w:t xml:space="preserve">This Experiment Protocol outlines the rigorous procedures required for the simulation and analysis of Carbon Dioxide (CO2) injection techniques aimed at Enhanced Oil Recovery (EOR). The primary objective is to evaluate the efficiency of miscible CO2 flooding in low-permeability sandstone reservoirs, a geological formation increasingly relevant to offshore exploration projects near the Japanese archipelago. This protocol is designed specifically for execution within the high-tech laboratory facilities located in Tokyo, Japan, adhering to the strict environmental and safety standards mandated by Japanese regulatory bodies.</w:t>
      </w:r>
    </w:p>
    <w:p>
      <w:pPr>
        <w:pStyle w:val="BodyText"/>
      </w:pPr>
      <w:r>
        <w:t xml:space="preserve">The scope of this experiment encompasses the preparation of core samples, the calibration of high-pressure flow loops, the execution of injection cycles, and the subsequent data analysis. The Petroleum Engineer leading this study must ensure that all variables are controlled to simulate realistic subsurface conditions found in the targeted exploration zones.</w:t>
      </w:r>
    </w:p>
    <w:bookmarkEnd w:id="20"/>
    <w:bookmarkStart w:id="21" w:name="Xc1bf6019d7c7f546cd756b019a9b2d8bdab0c79"/>
    <w:p>
      <w:pPr>
        <w:pStyle w:val="Heading2"/>
      </w:pPr>
      <w:r>
        <w:t xml:space="preserve">2. Regulatory Compliance and Safety Standards</w:t>
      </w:r>
    </w:p>
    <w:p>
      <w:pPr>
        <w:pStyle w:val="FirstParagraph"/>
      </w:pPr>
      <w:r>
        <w:t xml:space="preserve">Given the location of this experiment in Tokyo, Japan, strict adherence to local and national regulations is paramount. The protocol aligns with the Industrial Safety and Health Act of Japan and the specific guidelines set forth by the Ministry of Economy, Trade and Industry (METI) regarding energy research.</w:t>
      </w:r>
    </w:p>
    <w:p>
      <w:pPr>
        <w:pStyle w:val="BodyText"/>
      </w:pPr>
      <w:r>
        <w:rPr>
          <w:bCs/>
          <w:b/>
        </w:rPr>
        <w:t xml:space="preserve">Safety Alert:</w:t>
      </w:r>
      <w:r>
        <w:t xml:space="preserve"> </w:t>
      </w:r>
      <w:r>
        <w:t xml:space="preserve">All personnel must wear appropriate Personal Protective Equipment (PPE), including pressure-rated gloves, safety goggles, and lab coats. CO2 is an asphyxiant; the laboratory must be equipped with continuous atmospheric monitoring systems. In the event of a leak, the emergency evacuation procedures specific to the Tokyo facility must be initiated immediately.</w:t>
      </w:r>
    </w:p>
    <w:p>
      <w:pPr>
        <w:pStyle w:val="BodyText"/>
      </w:pPr>
      <w:r>
        <w:t xml:space="preserve">Furthermore, waste disposal procedures must comply with the Waste Management and Public Cleansing Act. Any chemical byproducts generated during the core flooding process must be treated and disposed of through certified facilities in the Kanto region.</w:t>
      </w:r>
    </w:p>
    <w:bookmarkEnd w:id="21"/>
    <w:bookmarkStart w:id="22" w:name="materials-and-equipment"/>
    <w:p>
      <w:pPr>
        <w:pStyle w:val="Heading2"/>
      </w:pPr>
      <w:r>
        <w:t xml:space="preserve">3. Materials and Equipment</w:t>
      </w:r>
    </w:p>
    <w:p>
      <w:pPr>
        <w:pStyle w:val="FirstParagraph"/>
      </w:pPr>
      <w:r>
        <w:t xml:space="preserve">The following equipment is required for the successful execution of this protocol. All instruments must be calibrated according to ISO standards prior to use.</w:t>
      </w:r>
    </w:p>
    <w:p>
      <w:pPr>
        <w:numPr>
          <w:ilvl w:val="0"/>
          <w:numId w:val="1001"/>
        </w:numPr>
        <w:pStyle w:val="Compact"/>
      </w:pPr>
      <w:r>
        <w:rPr>
          <w:bCs/>
          <w:b/>
        </w:rPr>
        <w:t xml:space="preserve">Core Samples:</w:t>
      </w:r>
      <w:r>
        <w:t xml:space="preserve"> </w:t>
      </w:r>
      <w:r>
        <w:t xml:space="preserve">Cylindrical sandstone cores (5 cm diameter, 10 cm length) sourced from representative geological formations.</w:t>
      </w:r>
    </w:p>
    <w:p>
      <w:pPr>
        <w:numPr>
          <w:ilvl w:val="0"/>
          <w:numId w:val="1001"/>
        </w:numPr>
        <w:pStyle w:val="Compact"/>
      </w:pPr>
      <w:r>
        <w:rPr>
          <w:bCs/>
          <w:b/>
        </w:rPr>
        <w:t xml:space="preserve">High-Pressure Core Holder:</w:t>
      </w:r>
      <w:r>
        <w:t xml:space="preserve"> </w:t>
      </w:r>
      <w:r>
        <w:t xml:space="preserve">Capable of withstanding pressures up to 15,000 psi and temperatures up to 150°C.</w:t>
      </w:r>
    </w:p>
    <w:p>
      <w:pPr>
        <w:numPr>
          <w:ilvl w:val="0"/>
          <w:numId w:val="1001"/>
        </w:numPr>
        <w:pStyle w:val="Compact"/>
      </w:pPr>
      <w:r>
        <w:rPr>
          <w:bCs/>
          <w:b/>
        </w:rPr>
        <w:t xml:space="preserve">CO2 Supply System:</w:t>
      </w:r>
      <w:r>
        <w:t xml:space="preserve"> </w:t>
      </w:r>
      <w:r>
        <w:t xml:space="preserve">High-purity CO2 gas cylinders with precision mass flow controllers.</w:t>
      </w:r>
    </w:p>
    <w:p>
      <w:pPr>
        <w:numPr>
          <w:ilvl w:val="0"/>
          <w:numId w:val="1001"/>
        </w:numPr>
        <w:pStyle w:val="Compact"/>
      </w:pPr>
      <w:r>
        <w:rPr>
          <w:bCs/>
          <w:b/>
        </w:rPr>
        <w:t xml:space="preserve">Back-Pressure Regulator:</w:t>
      </w:r>
      <w:r>
        <w:t xml:space="preserve"> </w:t>
      </w:r>
      <w:r>
        <w:t xml:space="preserve">To maintain reservoir pressure conditions during the experiment.</w:t>
      </w:r>
    </w:p>
    <w:p>
      <w:pPr>
        <w:numPr>
          <w:ilvl w:val="0"/>
          <w:numId w:val="1001"/>
        </w:numPr>
        <w:pStyle w:val="Compact"/>
      </w:pPr>
      <w:r>
        <w:rPr>
          <w:bCs/>
          <w:b/>
        </w:rPr>
        <w:t xml:space="preserve">Data Acquisition System:</w:t>
      </w:r>
      <w:r>
        <w:t xml:space="preserve"> </w:t>
      </w:r>
      <w:r>
        <w:t xml:space="preserve">Automated sensors for real-time monitoring of pressure, temperature, and fluid production rates.</w:t>
      </w:r>
    </w:p>
    <w:bookmarkEnd w:id="22"/>
    <w:bookmarkStart w:id="26" w:name="experimental-procedure"/>
    <w:p>
      <w:pPr>
        <w:pStyle w:val="Heading2"/>
      </w:pPr>
      <w:r>
        <w:t xml:space="preserve">4. Experimental Procedure</w:t>
      </w:r>
    </w:p>
    <w:p>
      <w:pPr>
        <w:pStyle w:val="FirstParagraph"/>
      </w:pPr>
      <w:r>
        <w:t xml:space="preserve">The Petroleum Engineer must follow the steps below sequentially. Deviations from this protocol must be documented and approved by the laboratory director.</w:t>
      </w:r>
    </w:p>
    <w:bookmarkStart w:id="23" w:name="sample-preparation"/>
    <w:p>
      <w:pPr>
        <w:pStyle w:val="Heading3"/>
      </w:pPr>
      <w:r>
        <w:t xml:space="preserve">4.1. Sample Preparation</w:t>
      </w:r>
    </w:p>
    <w:p>
      <w:pPr>
        <w:pStyle w:val="FirstParagraph"/>
      </w:pPr>
      <w:r>
        <w:t xml:space="preserve">First, the core samples must be cleaned to remove any drilling mud or contaminants. This is achieved by flushing the cores with toluene and methanol in a Soxhlet extractor. Once cleaned, the samples are dried in an oven at 105°C for 24 hours. The porosity and permeability of each core must be measured using helium porosimetry and gas permeametry, respectively. These baseline values are critical for calculating recovery factors later.</w:t>
      </w:r>
    </w:p>
    <w:bookmarkEnd w:id="23"/>
    <w:bookmarkStart w:id="24" w:name="saturation-and-confinement"/>
    <w:p>
      <w:pPr>
        <w:pStyle w:val="Heading3"/>
      </w:pPr>
      <w:r>
        <w:t xml:space="preserve">4.2. Saturation and Confinement</w:t>
      </w:r>
    </w:p>
    <w:p>
      <w:pPr>
        <w:pStyle w:val="FirstParagraph"/>
      </w:pPr>
      <w:r>
        <w:t xml:space="preserve">The dried core is placed inside the high-pressure core holder. It is then saturated with brine that mimics the salinity and composition of the reservoir water found in the target Japanese offshore fields. The core holder is pressurized with confining pressure to simulate overburden stress. The Petroleum Engineer must ensure that the differential pressure is maintained to prevent core damage.</w:t>
      </w:r>
    </w:p>
    <w:bookmarkEnd w:id="24"/>
    <w:bookmarkStart w:id="25" w:name="co2-injection-phase"/>
    <w:p>
      <w:pPr>
        <w:pStyle w:val="Heading3"/>
      </w:pPr>
      <w:r>
        <w:t xml:space="preserve">4.3. CO2 Injection Phase</w:t>
      </w:r>
    </w:p>
    <w:p>
      <w:pPr>
        <w:pStyle w:val="FirstParagraph"/>
      </w:pPr>
      <w:r>
        <w:t xml:space="preserve">Once the core is saturated and stabilized at the target temperature and pressure, the CO2 injection begins. The injection rate is set to maintain a constant velocity, simulating field injection rates. The system is monitored continuously for pressure drops and fluid production. The experiment continues until the breakthrough point is reached, defined as the moment CO2 is detected in the effluent.</w:t>
      </w:r>
    </w:p>
    <w:p>
      <w:pPr>
        <w:pStyle w:val="BodyText"/>
      </w:pPr>
      <w:r>
        <w:t xml:space="preserve">Post-breakthrough, the injection continues for a specified volume of pore volumes (PV) to assess the ultimate recovery efficiency. The Petroleum Engineer must record the volume of oil produced at regular intervals to construct a recovery curve.</w:t>
      </w:r>
    </w:p>
    <w:bookmarkEnd w:id="25"/>
    <w:bookmarkEnd w:id="26"/>
    <w:bookmarkStart w:id="27" w:name="data-analysis-and-reporting"/>
    <w:p>
      <w:pPr>
        <w:pStyle w:val="Heading2"/>
      </w:pPr>
      <w:r>
        <w:t xml:space="preserve">5. Data Analysis and Reporting</w:t>
      </w:r>
    </w:p>
    <w:p>
      <w:pPr>
        <w:pStyle w:val="FirstParagraph"/>
      </w:pPr>
      <w:r>
        <w:t xml:space="preserve">Upon completion of the injection phase, the data collected must be analyzed to determine the effectiveness of the CO2 EOR process. Key metrics include the recovery factor, relative permeability curves, and residual oil saturation. The Petroleum Engineer is responsible for compiling these results into a comprehensive report.</w:t>
      </w:r>
    </w:p>
    <w:p>
      <w:pPr>
        <w:pStyle w:val="BodyText"/>
      </w:pPr>
      <w:r>
        <w:t xml:space="preserve">The report must highlight any anomalies observed during the experiment and provide recommendations for field-scale application. Given the strategic importance of energy security in Japan, the findings will be reviewed by senior management in Tokyo to determine the viability of implementing this technology in upcoming exploration projects.</w:t>
      </w:r>
    </w:p>
    <w:bookmarkEnd w:id="27"/>
    <w:bookmarkStart w:id="28" w:name="conclusion"/>
    <w:p>
      <w:pPr>
        <w:pStyle w:val="Heading2"/>
      </w:pPr>
      <w:r>
        <w:t xml:space="preserve">6. Conclusion</w:t>
      </w:r>
    </w:p>
    <w:p>
      <w:pPr>
        <w:pStyle w:val="FirstParagraph"/>
      </w:pPr>
      <w:r>
        <w:t xml:space="preserve">This Experiment Protocol provides a structured approach to investigating CO2-based Enhanced Oil Recovery techniques. By adhering to these guidelines, the Petroleum Engineer ensures the integrity of the data and the safety of the personnel. The insights gained from this study in Tokyo will contribute significantly to the advancement of petroleum engineering practices in Japan and the broader Asia-Pacific region.</w:t>
      </w:r>
    </w:p>
    <w:p>
      <w:pPr>
        <w:pStyle w:val="BodyText"/>
      </w:pPr>
      <w:r>
        <w:rPr>
          <w:bCs/>
          <w:b/>
        </w:rPr>
        <w:t xml:space="preserve">Lead Petroleum Engineer</w:t>
      </w:r>
      <w:r>
        <w:br/>
      </w:r>
      <w:r>
        <w:t xml:space="preserve">Name: ________________________</w:t>
      </w:r>
      <w:r>
        <w:br/>
      </w:r>
      <w:r>
        <w:t xml:space="preserve">Date: ________________________</w:t>
      </w:r>
    </w:p>
    <w:p>
      <w:pPr>
        <w:pStyle w:val="BodyText"/>
      </w:pPr>
      <w:r>
        <w:rPr>
          <w:bCs/>
          <w:b/>
        </w:rPr>
        <w:t xml:space="preserve">Laboratory Director (Tokyo)</w:t>
      </w:r>
      <w:r>
        <w:br/>
      </w:r>
      <w:r>
        <w:t xml:space="preserve">Name: ________________________</w:t>
      </w:r>
      <w:r>
        <w:br/>
      </w:r>
      <w:r>
        <w:t xml:space="preserve">Date: 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Tokyo Operations</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