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Kuwait</w:t>
      </w:r>
      <w:r>
        <w:t xml:space="preserve"> </w:t>
      </w:r>
      <w:r>
        <w:t xml:space="preserve">City</w:t>
      </w:r>
    </w:p>
    <w:bookmarkStart w:id="31" w:name="X07e75bb95bc18b6a5a35121438caf65974fbdae"/>
    <w:p>
      <w:pPr>
        <w:pStyle w:val="Heading1"/>
      </w:pPr>
      <w:r>
        <w:t xml:space="preserve">Experiment Protocol: High-Temperature Polymer Flooding for Enhanced Oil Recovery</w:t>
      </w:r>
    </w:p>
    <w:p>
      <w:pPr>
        <w:pStyle w:val="FirstParagraph"/>
      </w:pPr>
      <w:r>
        <w:rPr>
          <w:bCs/>
          <w:b/>
        </w:rPr>
        <w:t xml:space="preserve">Document ID:</w:t>
      </w:r>
      <w:r>
        <w:t xml:space="preserve"> </w:t>
      </w:r>
      <w:r>
        <w:t xml:space="preserve">KPC-PE-EXP-2023-045</w:t>
      </w:r>
    </w:p>
    <w:p>
      <w:pPr>
        <w:pStyle w:val="BodyText"/>
      </w:pPr>
      <w:r>
        <w:rPr>
          <w:bCs/>
          <w:b/>
        </w:rPr>
        <w:t xml:space="preserve">Location:</w:t>
      </w:r>
      <w:r>
        <w:t xml:space="preserve"> </w:t>
      </w:r>
      <w:r>
        <w:t xml:space="preserve">Kuwait Oil Company Research Center, Kuwait City, Kuwait</w:t>
      </w:r>
    </w:p>
    <w:p>
      <w:pPr>
        <w:pStyle w:val="BodyText"/>
      </w:pPr>
      <w:r>
        <w:rPr>
          <w:bCs/>
          <w:b/>
        </w:rPr>
        <w:t xml:space="preserve">Discipline:</w:t>
      </w:r>
      <w:r>
        <w:t xml:space="preserve"> </w:t>
      </w:r>
      <w:r>
        <w:t xml:space="preserve">Petroleum Engineering</w:t>
      </w:r>
    </w:p>
    <w:p>
      <w:pPr>
        <w:pStyle w:val="BodyText"/>
      </w:pPr>
      <w:r>
        <w:rPr>
          <w:bCs/>
          <w:b/>
        </w:rPr>
        <w:t xml:space="preserve">Prepared By:</w:t>
      </w:r>
      <w:r>
        <w:t xml:space="preserve"> </w:t>
      </w:r>
      <w:r>
        <w:t xml:space="preserve">Senior Petroleum Engineer</w:t>
      </w:r>
    </w:p>
    <w:p>
      <w:pPr>
        <w:pStyle w:val="BodyText"/>
      </w:pPr>
      <w:r>
        <w:rPr>
          <w:bCs/>
          <w:b/>
        </w:rPr>
        <w:t xml:space="preserve">Date:</w:t>
      </w:r>
      <w:r>
        <w:t xml:space="preserve"> </w:t>
      </w:r>
      <w:r>
        <w:t xml:space="preserve">October 24, 2023</w:t>
      </w:r>
    </w:p>
    <w:bookmarkStart w:id="20" w:name="introduction-and-objective"/>
    <w:p>
      <w:pPr>
        <w:pStyle w:val="Heading2"/>
      </w:pPr>
      <w:r>
        <w:t xml:space="preserve">1.0 Introduction and Objective</w:t>
      </w:r>
    </w:p>
    <w:p>
      <w:pPr>
        <w:pStyle w:val="FirstParagraph"/>
      </w:pPr>
      <w:r>
        <w:t xml:space="preserve">This Experiment Protocol outlines the procedures for evaluating the thermal stability and rheological properties of novel hydrolyzed polyacrylamide (HPAM) polymers under reservoir conditions specific to the Burgan Field. As a Petroleum Engineer operating within the strategic energy hub of Kuwait City, the primary objective is to optimize Enhanced Oil Recovery (EOR) techniques. The harsh environmental conditions of Kuwait, combined with the high-temperature, high-salinity (HTHS) nature of local reservoirs, necessitate rigorous laboratory testing before field deployment.</w:t>
      </w:r>
    </w:p>
    <w:p>
      <w:pPr>
        <w:pStyle w:val="BodyText"/>
      </w:pPr>
      <w:r>
        <w:t xml:space="preserve">The specific goal of this experiment is to determine the viscosity retention of polymer solutions at temperatures exceeding 80°C and salinities mimicking the formation water found in Kuwait's major oil fields. This data is critical for designing a successful polymer flood pilot project.</w:t>
      </w:r>
    </w:p>
    <w:bookmarkEnd w:id="20"/>
    <w:bookmarkStart w:id="21" w:name="scope-and-applicability"/>
    <w:p>
      <w:pPr>
        <w:pStyle w:val="Heading2"/>
      </w:pPr>
      <w:r>
        <w:t xml:space="preserve">2.0 Scope and Applicability</w:t>
      </w:r>
    </w:p>
    <w:p>
      <w:pPr>
        <w:pStyle w:val="FirstParagraph"/>
      </w:pPr>
      <w:r>
        <w:t xml:space="preserve">This protocol applies to all laboratory personnel and Petroleum Engineers involved in the EOR research division at the Kuwait City facility. It covers the preparation of synthetic brine, polymer dissolution, aging procedures, and viscosity measurements. The results will directly influence the technical specifications for chemical procurement and injection strategies in Kuwait's upstream operations.</w:t>
      </w:r>
    </w:p>
    <w:bookmarkEnd w:id="21"/>
    <w:bookmarkStart w:id="22" w:name="safety-and-environmental-considerations"/>
    <w:p>
      <w:pPr>
        <w:pStyle w:val="Heading2"/>
      </w:pPr>
      <w:r>
        <w:t xml:space="preserve">3.0 Safety and Environmental Considerations</w:t>
      </w:r>
    </w:p>
    <w:p>
      <w:pPr>
        <w:pStyle w:val="FirstParagraph"/>
      </w:pPr>
      <w:r>
        <w:t xml:space="preserve">Adherence to the safety standards mandated by the Kuwait Oil Company and local environmental regulations is mandatory.</w:t>
      </w:r>
    </w:p>
    <w:p>
      <w:pPr>
        <w:numPr>
          <w:ilvl w:val="0"/>
          <w:numId w:val="1001"/>
        </w:numPr>
        <w:pStyle w:val="Compact"/>
      </w:pPr>
      <w:r>
        <w:rPr>
          <w:bCs/>
          <w:b/>
        </w:rPr>
        <w:t xml:space="preserve">Personal Protective Equipment (PPE):</w:t>
      </w:r>
      <w:r>
        <w:t xml:space="preserve"> </w:t>
      </w:r>
      <w:r>
        <w:t xml:space="preserve">Lab coats, safety goggles, nitrile gloves, and closed-toe shoes are required at all times.</w:t>
      </w:r>
    </w:p>
    <w:p>
      <w:pPr>
        <w:numPr>
          <w:ilvl w:val="0"/>
          <w:numId w:val="1001"/>
        </w:numPr>
        <w:pStyle w:val="Compact"/>
      </w:pPr>
      <w:r>
        <w:rPr>
          <w:bCs/>
          <w:b/>
        </w:rPr>
        <w:t xml:space="preserve">Chemical Handling:</w:t>
      </w:r>
      <w:r>
        <w:t xml:space="preserve"> </w:t>
      </w:r>
      <w:r>
        <w:t xml:space="preserve">Polyacrylamide powders can be respiratory irritants. All powder handling must be conducted in a fume hood.</w:t>
      </w:r>
    </w:p>
    <w:p>
      <w:pPr>
        <w:numPr>
          <w:ilvl w:val="0"/>
          <w:numId w:val="1001"/>
        </w:numPr>
        <w:pStyle w:val="Compact"/>
      </w:pPr>
      <w:r>
        <w:rPr>
          <w:bCs/>
          <w:b/>
        </w:rPr>
        <w:t xml:space="preserve">High Temperature:</w:t>
      </w:r>
      <w:r>
        <w:t xml:space="preserve"> </w:t>
      </w:r>
      <w:r>
        <w:t xml:space="preserve">Equipment will operate at temperatures up to 90°C. Use heat-resistant gloves when handling autoclaves or viscometers.</w:t>
      </w:r>
    </w:p>
    <w:p>
      <w:pPr>
        <w:numPr>
          <w:ilvl w:val="0"/>
          <w:numId w:val="1001"/>
        </w:numPr>
        <w:pStyle w:val="Compact"/>
      </w:pPr>
      <w:r>
        <w:rPr>
          <w:bCs/>
          <w:b/>
        </w:rPr>
        <w:t xml:space="preserve">Waste Disposal:</w:t>
      </w:r>
      <w:r>
        <w:t xml:space="preserve"> </w:t>
      </w:r>
      <w:r>
        <w:t xml:space="preserve">All chemical waste must be segregated according to the hazardous waste management protocols of Kuwait City industrial zones.</w:t>
      </w:r>
    </w:p>
    <w:bookmarkEnd w:id="22"/>
    <w:bookmarkStart w:id="23" w:name="materials-and-equipment"/>
    <w:p>
      <w:pPr>
        <w:pStyle w:val="Heading2"/>
      </w:pPr>
      <w:r>
        <w:t xml:space="preserve">4.0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Hydrolyzed Polyacrylamide (HPAM)</w:t>
            </w:r>
          </w:p>
        </w:tc>
        <w:tc>
          <w:tcPr/>
          <w:p>
            <w:pPr>
              <w:pStyle w:val="Compact"/>
              <w:jc w:val="left"/>
            </w:pPr>
            <w:r>
              <w:t xml:space="preserve">High molecular weight, 30% hydrolysis</w:t>
            </w:r>
          </w:p>
        </w:tc>
        <w:tc>
          <w:tcPr/>
          <w:p>
            <w:pPr>
              <w:pStyle w:val="Compact"/>
              <w:jc w:val="left"/>
            </w:pPr>
            <w:r>
              <w:t xml:space="preserve">500g</w:t>
            </w:r>
          </w:p>
        </w:tc>
      </w:tr>
      <w:tr>
        <w:tc>
          <w:tcPr/>
          <w:p>
            <w:pPr>
              <w:pStyle w:val="Compact"/>
              <w:jc w:val="left"/>
            </w:pPr>
            <w:r>
              <w:t xml:space="preserve">Synthetic Brine</w:t>
            </w:r>
          </w:p>
        </w:tc>
        <w:tc>
          <w:tcPr/>
          <w:p>
            <w:pPr>
              <w:pStyle w:val="Compact"/>
              <w:jc w:val="left"/>
            </w:pPr>
            <w:r>
              <w:t xml:space="preserve">Mimicking Burgan Field water (High Ca2+/Mg2+)</w:t>
            </w:r>
          </w:p>
        </w:tc>
        <w:tc>
          <w:tcPr/>
          <w:p>
            <w:pPr>
              <w:pStyle w:val="Compact"/>
              <w:jc w:val="left"/>
            </w:pPr>
            <w:r>
              <w:t xml:space="preserve">10 Liters</w:t>
            </w:r>
          </w:p>
        </w:tc>
      </w:tr>
      <w:tr>
        <w:tc>
          <w:tcPr/>
          <w:p>
            <w:pPr>
              <w:pStyle w:val="Compact"/>
              <w:jc w:val="left"/>
            </w:pPr>
            <w:r>
              <w:t xml:space="preserve">Rotational Viscometer</w:t>
            </w:r>
          </w:p>
        </w:tc>
        <w:tc>
          <w:tcPr/>
          <w:p>
            <w:pPr>
              <w:pStyle w:val="Compact"/>
              <w:jc w:val="left"/>
            </w:pPr>
            <w:r>
              <w:t xml:space="preserve">Capable of high-temperature operation</w:t>
            </w:r>
          </w:p>
        </w:tc>
        <w:tc>
          <w:tcPr/>
          <w:p>
            <w:pPr>
              <w:pStyle w:val="Compact"/>
              <w:jc w:val="left"/>
            </w:pPr>
            <w:r>
              <w:t xml:space="preserve">1 Unit</w:t>
            </w:r>
          </w:p>
        </w:tc>
      </w:tr>
      <w:tr>
        <w:tc>
          <w:tcPr/>
          <w:p>
            <w:pPr>
              <w:pStyle w:val="Compact"/>
              <w:jc w:val="left"/>
            </w:pPr>
            <w:r>
              <w:t xml:space="preserve">Autoclave Reactor</w:t>
            </w:r>
          </w:p>
        </w:tc>
        <w:tc>
          <w:tcPr/>
          <w:p>
            <w:pPr>
              <w:pStyle w:val="Compact"/>
              <w:jc w:val="left"/>
            </w:pPr>
            <w:r>
              <w:t xml:space="preserve">Stainless steel, 100mL capacity</w:t>
            </w:r>
          </w:p>
        </w:tc>
        <w:tc>
          <w:tcPr/>
          <w:p>
            <w:pPr>
              <w:pStyle w:val="Compact"/>
              <w:jc w:val="left"/>
            </w:pPr>
            <w:r>
              <w:t xml:space="preserve">3 Units</w:t>
            </w:r>
          </w:p>
        </w:tc>
      </w:tr>
      <w:tr>
        <w:tc>
          <w:tcPr/>
          <w:p>
            <w:pPr>
              <w:pStyle w:val="Compact"/>
              <w:jc w:val="left"/>
            </w:pPr>
            <w:r>
              <w:t xml:space="preserve">Magnetic Stirrer</w:t>
            </w:r>
          </w:p>
        </w:tc>
        <w:tc>
          <w:tcPr/>
          <w:p>
            <w:pPr>
              <w:pStyle w:val="Compact"/>
              <w:jc w:val="left"/>
            </w:pPr>
            <w:r>
              <w:t xml:space="preserve">Variable speed</w:t>
            </w:r>
          </w:p>
        </w:tc>
        <w:tc>
          <w:tcPr/>
          <w:p>
            <w:pPr>
              <w:pStyle w:val="Compact"/>
              <w:jc w:val="left"/>
            </w:pPr>
            <w:r>
              <w:t xml:space="preserve">2 Units</w:t>
            </w:r>
          </w:p>
        </w:tc>
      </w:tr>
    </w:tbl>
    <w:bookmarkEnd w:id="23"/>
    <w:bookmarkStart w:id="28" w:name="experimental-procedure"/>
    <w:p>
      <w:pPr>
        <w:pStyle w:val="Heading2"/>
      </w:pPr>
      <w:r>
        <w:t xml:space="preserve">5.0 Experimental Procedure</w:t>
      </w:r>
    </w:p>
    <w:bookmarkStart w:id="24" w:name="preparation-of-synthetic-brine"/>
    <w:p>
      <w:pPr>
        <w:pStyle w:val="Heading3"/>
      </w:pPr>
      <w:r>
        <w:t xml:space="preserve">5.1 Preparation of Synthetic Brine</w:t>
      </w:r>
    </w:p>
    <w:p>
      <w:pPr>
        <w:pStyle w:val="FirstParagraph"/>
      </w:pPr>
      <w:r>
        <w:t xml:space="preserve">To accurately simulate the reservoir conditions in Kuwait, prepare a synthetic brine solution. Dissolve analytical grade salts (NaCl, CaCl2, MgCl2, KCl) in deionized water to match the Total Dissolved Solids (TDS) and ion composition of the target reservoir. The TDS should be approximately 150,000 ppm. Ensure complete dissolution and filter the solution through a 0.45-micron filter to remove particulates.</w:t>
      </w:r>
    </w:p>
    <w:bookmarkEnd w:id="24"/>
    <w:bookmarkStart w:id="25" w:name="polymer-dissolution"/>
    <w:p>
      <w:pPr>
        <w:pStyle w:val="Heading3"/>
      </w:pPr>
      <w:r>
        <w:t xml:space="preserve">5.2 Polymer Dissolution</w:t>
      </w:r>
    </w:p>
    <w:p>
      <w:pPr>
        <w:pStyle w:val="FirstParagraph"/>
      </w:pPr>
      <w:r>
        <w:t xml:space="preserve">Weigh the required amount of HPAM polymer to achieve a concentration of 2000 ppm. Slowly sprinkle the polymer powder into the stirring synthetic brine to prevent "fish-eyes" (undissolved clumps). Maintain a low shear mixing speed for 4 hours to ensure complete hydration. As a Petroleum Engineer, it is vital to note that improper dissolution will skew viscosity data, leading to incorrect field predictions.</w:t>
      </w:r>
    </w:p>
    <w:bookmarkEnd w:id="25"/>
    <w:bookmarkStart w:id="26" w:name="thermal-aging"/>
    <w:p>
      <w:pPr>
        <w:pStyle w:val="Heading3"/>
      </w:pPr>
      <w:r>
        <w:t xml:space="preserve">5.3 Thermal Aging</w:t>
      </w:r>
    </w:p>
    <w:p>
      <w:pPr>
        <w:pStyle w:val="FirstParagraph"/>
      </w:pPr>
      <w:r>
        <w:t xml:space="preserve">Transfer the polymer solution into the autoclave reactors. Seal the reactors and place them in an oven set to 85°C, which represents the bottom-hole temperature of the Kuwaiti reservoir. Allow the samples to age for 7 days. This step simulates the thermal degradation the polymer will undergo during injection and flow through the reservoir rock.</w:t>
      </w:r>
    </w:p>
    <w:bookmarkEnd w:id="26"/>
    <w:bookmarkStart w:id="27" w:name="viscosity-measurement"/>
    <w:p>
      <w:pPr>
        <w:pStyle w:val="Heading3"/>
      </w:pPr>
      <w:r>
        <w:t xml:space="preserve">5.4 Viscosity Measurement</w:t>
      </w:r>
    </w:p>
    <w:p>
      <w:pPr>
        <w:pStyle w:val="FirstParagraph"/>
      </w:pPr>
      <w:r>
        <w:t xml:space="preserve">After the aging period, remove the samples and allow them to cool to room temperature. Measure the viscosity using the rotational viscometer at shear rates ranging from 10 to 1000 s^-1. Record the apparent viscosity at each shear rate. Compare these results with the initial viscosity of the fresh polymer solution to calculate the viscosity retention percentage.</w:t>
      </w:r>
    </w:p>
    <w:bookmarkEnd w:id="27"/>
    <w:bookmarkEnd w:id="28"/>
    <w:bookmarkStart w:id="29" w:name="data-analysis-and-reporting"/>
    <w:p>
      <w:pPr>
        <w:pStyle w:val="Heading2"/>
      </w:pPr>
      <w:r>
        <w:t xml:space="preserve">6.0 Data Analysis and Reporting</w:t>
      </w:r>
    </w:p>
    <w:p>
      <w:pPr>
        <w:pStyle w:val="FirstParagraph"/>
      </w:pPr>
      <w:r>
        <w:t xml:space="preserve">The Petroleum Engineer responsible for this experiment must analyze the data to determine the suitability of the polymer for EOR in Kuwait City's operational context.</w:t>
      </w:r>
    </w:p>
    <w:p>
      <w:pPr>
        <w:numPr>
          <w:ilvl w:val="0"/>
          <w:numId w:val="1002"/>
        </w:numPr>
        <w:pStyle w:val="Compact"/>
      </w:pPr>
      <w:r>
        <w:rPr>
          <w:bCs/>
          <w:b/>
        </w:rPr>
        <w:t xml:space="preserve">Viscosity Retention:</w:t>
      </w:r>
      <w:r>
        <w:t xml:space="preserve"> </w:t>
      </w:r>
      <w:r>
        <w:t xml:space="preserve">Calculate the percentage of viscosity retained after thermal aging. A retention rate above 70% is generally considered acceptable for field application.</w:t>
      </w:r>
    </w:p>
    <w:p>
      <w:pPr>
        <w:numPr>
          <w:ilvl w:val="0"/>
          <w:numId w:val="1002"/>
        </w:numPr>
        <w:pStyle w:val="Compact"/>
      </w:pPr>
      <w:r>
        <w:rPr>
          <w:bCs/>
          <w:b/>
        </w:rPr>
        <w:t xml:space="preserve">Shear Thinning Behavior:</w:t>
      </w:r>
      <w:r>
        <w:t xml:space="preserve"> </w:t>
      </w:r>
      <w:r>
        <w:t xml:space="preserve">Plot viscosity versus shear rate to understand the non-Newtonian behavior of the fluid.</w:t>
      </w:r>
    </w:p>
    <w:p>
      <w:pPr>
        <w:numPr>
          <w:ilvl w:val="0"/>
          <w:numId w:val="1002"/>
        </w:numPr>
        <w:pStyle w:val="Compact"/>
      </w:pPr>
      <w:r>
        <w:rPr>
          <w:bCs/>
          <w:b/>
        </w:rPr>
        <w:t xml:space="preserve">Recommendations:</w:t>
      </w:r>
      <w:r>
        <w:t xml:space="preserve"> </w:t>
      </w:r>
      <w:r>
        <w:t xml:space="preserve">Based on the results, recommend whether the polymer is suitable for pilot testing or if chemical modifications are required.</w:t>
      </w:r>
    </w:p>
    <w:bookmarkEnd w:id="29"/>
    <w:bookmarkStart w:id="30" w:name="conclusion"/>
    <w:p>
      <w:pPr>
        <w:pStyle w:val="Heading2"/>
      </w:pPr>
      <w:r>
        <w:t xml:space="preserve">7.0 Conclusion</w:t>
      </w:r>
    </w:p>
    <w:p>
      <w:pPr>
        <w:pStyle w:val="FirstParagraph"/>
      </w:pPr>
      <w:r>
        <w:t xml:space="preserve">This Experiment Protocol provides a structured approach to evaluating polymer performance under the specific geological and environmental conditions of Kuwait. By following these steps, the Petroleum Engineer ensures that the data collected is reliable, reproducible, and directly applicable to enhancing oil recovery operations in Kuwait City and surrounding fields. The success of this experiment contributes to the national energy security and economic stability of Kuwait.</w:t>
      </w:r>
    </w:p>
    <w:p>
      <w:pPr>
        <w:pStyle w:val="BodyText"/>
      </w:pPr>
      <w:r>
        <w:rPr>
          <w:bCs/>
          <w:b/>
        </w:rPr>
        <w:t xml:space="preserve">Note:</w:t>
      </w:r>
      <w:r>
        <w:t xml:space="preserve"> </w:t>
      </w:r>
      <w:r>
        <w:t xml:space="preserve">Any deviation from this protocol must be documented and approved by the Lead Petroleum Engineer prior to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Kuwait City</dc:title>
  <dc:creator/>
  <dc:language>en</dc:language>
  <cp:keywords/>
  <dcterms:created xsi:type="dcterms:W3CDTF">2026-10-10T03:34:40Z</dcterms:created>
  <dcterms:modified xsi:type="dcterms:W3CDTF">2026-10-10T03:34:40Z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