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via</w:t>
      </w:r>
      <w:r>
        <w:t xml:space="preserve"> </w:t>
      </w:r>
      <w:r>
        <w:t xml:space="preserve">CO2</w:t>
      </w:r>
      <w:r>
        <w:t xml:space="preserve"> </w:t>
      </w:r>
      <w:r>
        <w:t xml:space="preserve">Injection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377980f0ff52e220b0e2c16635c909684ebab21"/>
    <w:p>
      <w:pPr>
        <w:pStyle w:val="Heading1"/>
      </w:pPr>
      <w:r>
        <w:t xml:space="preserve">Experiment Protocol: Enhanced Oil Recovery via Supercritical CO2 Injection</w:t>
      </w:r>
    </w:p>
    <w:p>
      <w:pPr>
        <w:pStyle w:val="FirstParagraph"/>
      </w:pPr>
      <w:r>
        <w:rPr>
          <w:bCs/>
          <w:b/>
        </w:rPr>
        <w:t xml:space="preserve">Location:</w:t>
      </w:r>
      <w:r>
        <w:t xml:space="preserve"> </w:t>
      </w:r>
      <w:r>
        <w:t xml:space="preserve">Kuala Lumpur, Malaysia</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KL-PE-2023-045</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controlled laboratory study focused on Enhanced Oil Recovery (EOR) techniques, specifically utilizing supercritical carbon dioxide (CO2) injection. The study is designed and executed by a team of Petroleum Engineers operating within the research facilities in Kuala Lumpur, Malaysia. The primary objective is to evaluate the efficiency of CO2 flooding in reducing the viscosity of heavy crude oil samples sourced from the Sarawak Basin, thereby improving recovery rates in mature fields.</w:t>
      </w:r>
    </w:p>
    <w:p>
      <w:pPr>
        <w:pStyle w:val="BodyText"/>
      </w:pPr>
      <w:r>
        <w:t xml:space="preserve">Given Malaysia's status as a significant oil and gas producer, this research aims to contribute to the national energy security strategy by optimizing extraction methods. The protocol adheres to the rigorous standards expected of a Petroleum Engineer, ensuring data integrity, safety compliance, and environmental responsibility.</w:t>
      </w:r>
    </w:p>
    <w:bookmarkEnd w:id="21"/>
    <w:bookmarkStart w:id="22" w:name="scope-and-applicability"/>
    <w:p>
      <w:pPr>
        <w:pStyle w:val="Heading2"/>
      </w:pPr>
      <w:r>
        <w:t xml:space="preserve">2. Scope and Applicability</w:t>
      </w:r>
    </w:p>
    <w:p>
      <w:pPr>
        <w:pStyle w:val="FirstParagraph"/>
      </w:pPr>
      <w:r>
        <w:t xml:space="preserve">This protocol applies to all personnel involved in the experimental phase conducted at the Kuala Lumpur research center. It covers the preparation of core samples, the setup of the high-pressure displacement apparatus, the execution of the injection process, and the subsequent data analysis. The scope is limited to laboratory-scale simulation and does not directly govern field operations, although the findings will inform field-scale pilot projects.</w:t>
      </w:r>
    </w:p>
    <w:bookmarkEnd w:id="22"/>
    <w:bookmarkStart w:id="23" w:name="safety-and-regulatory-compliance"/>
    <w:p>
      <w:pPr>
        <w:pStyle w:val="Heading2"/>
      </w:pPr>
      <w:r>
        <w:t xml:space="preserve">3. Safety and Regulatory Compliance</w:t>
      </w:r>
    </w:p>
    <w:p>
      <w:pPr>
        <w:pStyle w:val="FirstParagraph"/>
      </w:pPr>
      <w:r>
        <w:t xml:space="preserve">Safety is paramount in this Experiment Protocol. All procedures must comply with the Occupational Safety and Health Act 1994 (Act 514) of Malaysia and the specific guidelines set forth by the Department of Occupational Safety and Health (DOSH). Additionally, the protocol aligns with the regulations of the Petronas Carigali Sdn Bhd regarding hazardous material handling.</w:t>
      </w:r>
    </w:p>
    <w:p>
      <w:pPr>
        <w:pStyle w:val="BodyText"/>
      </w:pPr>
      <w:r>
        <w:rPr>
          <w:bCs/>
          <w:b/>
        </w:rPr>
        <w:t xml:space="preserve">Warning:</w:t>
      </w:r>
      <w:r>
        <w:t xml:space="preserve"> </w:t>
      </w:r>
      <w:r>
        <w:t xml:space="preserve">Supercritical CO2 is stored at high pressures and low temperatures. Improper handling can lead to asphyxiation, frostbite, or equipment failure. All Petroleum Engineers and technicians must wear appropriate Personal Protective Equipment (PPE), including safety goggles, face shields, and insulated gloves.</w:t>
      </w:r>
    </w:p>
    <w:p>
      <w:pPr>
        <w:pStyle w:val="BodyText"/>
      </w:pPr>
      <w:r>
        <w:t xml:space="preserve">Emergency procedures specific to the Kuala Lumpur facility must be reviewed prior to commencement. This includes the location of emergency showers, eyewash stations, and CO2 leak detection alarms.</w:t>
      </w:r>
    </w:p>
    <w:bookmarkEnd w:id="23"/>
    <w:bookmarkStart w:id="24" w:name="materials-and-equipment"/>
    <w:p>
      <w:pPr>
        <w:pStyle w:val="Heading2"/>
      </w:pPr>
      <w:r>
        <w:t xml:space="preserve">4. Materials and Equipment</w:t>
      </w:r>
    </w:p>
    <w:p>
      <w:pPr>
        <w:pStyle w:val="FirstParagraph"/>
      </w:pPr>
      <w:r>
        <w:t xml:space="preserve">The following equipment is required for the execution of this protocol:</w:t>
      </w:r>
    </w:p>
    <w:p>
      <w:pPr>
        <w:numPr>
          <w:ilvl w:val="0"/>
          <w:numId w:val="1001"/>
        </w:numPr>
        <w:pStyle w:val="Compact"/>
      </w:pPr>
      <w:r>
        <w:t xml:space="preserve">High-pressure core flood apparatus capable of maintaining pressures up to 10,000 psi and temperatures up to 150°C.</w:t>
      </w:r>
    </w:p>
    <w:p>
      <w:pPr>
        <w:numPr>
          <w:ilvl w:val="0"/>
          <w:numId w:val="1001"/>
        </w:numPr>
        <w:pStyle w:val="Compact"/>
      </w:pPr>
      <w:r>
        <w:t xml:space="preserve">Core samples of sandstone and limestone, representative of Malaysian reservoirs.</w:t>
      </w:r>
    </w:p>
    <w:p>
      <w:pPr>
        <w:numPr>
          <w:ilvl w:val="0"/>
          <w:numId w:val="1001"/>
        </w:numPr>
        <w:pStyle w:val="Compact"/>
      </w:pPr>
      <w:r>
        <w:t xml:space="preserve">High-purity CO2 gas cylinders.</w:t>
      </w:r>
    </w:p>
    <w:p>
      <w:pPr>
        <w:numPr>
          <w:ilvl w:val="0"/>
          <w:numId w:val="1001"/>
        </w:numPr>
        <w:pStyle w:val="Compact"/>
      </w:pPr>
      <w:r>
        <w:t xml:space="preserve">Viscometer for fluid property analysis.</w:t>
      </w:r>
    </w:p>
    <w:p>
      <w:pPr>
        <w:numPr>
          <w:ilvl w:val="0"/>
          <w:numId w:val="1001"/>
        </w:numPr>
        <w:pStyle w:val="Compact"/>
      </w:pPr>
      <w:r>
        <w:t xml:space="preserve">Data acquisition system for real-time monitoring of pressure and flow rates.</w:t>
      </w:r>
    </w:p>
    <w:bookmarkEnd w:id="24"/>
    <w:bookmarkStart w:id="29" w:name="experimental-procedure"/>
    <w:p>
      <w:pPr>
        <w:pStyle w:val="Heading2"/>
      </w:pPr>
      <w:r>
        <w:t xml:space="preserve">5. Experimental Procedure</w:t>
      </w:r>
    </w:p>
    <w:bookmarkStart w:id="25" w:name="sample-preparation"/>
    <w:p>
      <w:pPr>
        <w:pStyle w:val="Heading3"/>
      </w:pPr>
      <w:r>
        <w:t xml:space="preserve">5.1 Sample Preparation</w:t>
      </w:r>
    </w:p>
    <w:p>
      <w:pPr>
        <w:pStyle w:val="FirstParagraph"/>
      </w:pPr>
      <w:r>
        <w:t xml:space="preserve">The Petroleum Engineer must first characterize the core samples. This involves measuring the porosity and permeability of each sample using helium porosimetry and gas permeametry. The samples are then saturated with brine to simulate reservoir conditions.</w:t>
      </w:r>
    </w:p>
    <w:bookmarkEnd w:id="25"/>
    <w:bookmarkStart w:id="26" w:name="system-setup"/>
    <w:p>
      <w:pPr>
        <w:pStyle w:val="Heading3"/>
      </w:pPr>
      <w:r>
        <w:t xml:space="preserve">5.2 System Setup</w:t>
      </w:r>
    </w:p>
    <w:p>
      <w:pPr>
        <w:pStyle w:val="FirstParagraph"/>
      </w:pPr>
      <w:r>
        <w:t xml:space="preserve">Assemble the core flood apparatus in the designated laboratory area in Kuala Lumpur. Ensure all connections are tight and leak-tested using nitrogen gas. Calibrate all pressure transducers and flow meters according to manufacturer specifications.</w:t>
      </w:r>
    </w:p>
    <w:bookmarkEnd w:id="26"/>
    <w:bookmarkStart w:id="27" w:name="injection-process"/>
    <w:p>
      <w:pPr>
        <w:pStyle w:val="Heading3"/>
      </w:pPr>
      <w:r>
        <w:t xml:space="preserve">5.3 Injection Process</w:t>
      </w:r>
    </w:p>
    <w:p>
      <w:pPr>
        <w:pStyle w:val="FirstParagraph"/>
      </w:pPr>
      <w:r>
        <w:t xml:space="preserve">Begin the experiment by injecting brine at a constant rate to establish baseline permeability. Once stabilized, switch to CO2 injection. Gradually increase the pressure to achieve supercritical conditions (above 31.1°C and 73.8 bar). Monitor the differential pressure across the core sample continuously.</w:t>
      </w:r>
    </w:p>
    <w:bookmarkEnd w:id="27"/>
    <w:bookmarkStart w:id="28" w:name="data-collection"/>
    <w:p>
      <w:pPr>
        <w:pStyle w:val="Heading3"/>
      </w:pPr>
      <w:r>
        <w:t xml:space="preserve">5.4 Data Collection</w:t>
      </w:r>
    </w:p>
    <w:p>
      <w:pPr>
        <w:pStyle w:val="FirstParagraph"/>
      </w:pPr>
      <w:r>
        <w:t xml:space="preserve">Record the following parameters at regular intervals:</w:t>
      </w:r>
    </w:p>
    <w:p>
      <w:pPr>
        <w:numPr>
          <w:ilvl w:val="0"/>
          <w:numId w:val="1002"/>
        </w:numPr>
        <w:pStyle w:val="Compact"/>
      </w:pPr>
      <w:r>
        <w:t xml:space="preserve">Inlet and outlet pressure.</w:t>
      </w:r>
    </w:p>
    <w:p>
      <w:pPr>
        <w:numPr>
          <w:ilvl w:val="0"/>
          <w:numId w:val="1002"/>
        </w:numPr>
        <w:pStyle w:val="Compact"/>
      </w:pPr>
      <w:r>
        <w:t xml:space="preserve">Flow rate of injected CO2.</w:t>
      </w:r>
    </w:p>
    <w:p>
      <w:pPr>
        <w:numPr>
          <w:ilvl w:val="0"/>
          <w:numId w:val="1002"/>
        </w:numPr>
        <w:pStyle w:val="Compact"/>
      </w:pPr>
      <w:r>
        <w:t xml:space="preserve">Volume of oil produced.</w:t>
      </w:r>
    </w:p>
    <w:p>
      <w:pPr>
        <w:numPr>
          <w:ilvl w:val="0"/>
          <w:numId w:val="1002"/>
        </w:numPr>
        <w:pStyle w:val="Compact"/>
      </w:pPr>
      <w:r>
        <w:t xml:space="preserve">Temperature of the core holder.</w:t>
      </w:r>
    </w:p>
    <w:bookmarkEnd w:id="28"/>
    <w:bookmarkEnd w:id="29"/>
    <w:bookmarkStart w:id="30" w:name="data-analysis-and-reporting"/>
    <w:p>
      <w:pPr>
        <w:pStyle w:val="Heading2"/>
      </w:pPr>
      <w:r>
        <w:t xml:space="preserve">6. Data Analysis and Reporting</w:t>
      </w:r>
    </w:p>
    <w:p>
      <w:pPr>
        <w:pStyle w:val="FirstParagraph"/>
      </w:pPr>
      <w:r>
        <w:t xml:space="preserve">Upon completion of the injection phase, the Petroleum Engineer will analyze the collected data to calculate the recovery factor. This involves comparing the volume of oil recovered during the CO2 injection phase to the original oil in place. The results will be used to model the potential effectiveness of this EOR technique in Malaysian reservoirs.</w:t>
      </w:r>
    </w:p>
    <w:p>
      <w:pPr>
        <w:pStyle w:val="BodyText"/>
      </w:pPr>
      <w:r>
        <w:t xml:space="preserve">A comprehensive report must be generated, detailing the methodology, results, and conclusions. This report will be submitted to the project management team in Kuala Lumpur for review and potential implementation in field operations.</w:t>
      </w:r>
    </w:p>
    <w:bookmarkEnd w:id="30"/>
    <w:bookmarkStart w:id="31" w:name="environmental-considerations"/>
    <w:p>
      <w:pPr>
        <w:pStyle w:val="Heading2"/>
      </w:pPr>
      <w:r>
        <w:t xml:space="preserve">7. Environmental Considerations</w:t>
      </w:r>
    </w:p>
    <w:p>
      <w:pPr>
        <w:pStyle w:val="FirstParagraph"/>
      </w:pPr>
      <w:r>
        <w:t xml:space="preserve">This Experiment Protocol emphasizes the environmental benefits of CO2 injection, which not only enhances oil recovery but also sequesters carbon dioxide. However, all waste materials, including used core samples and chemical fluids, must be disposed of in accordance with the Environmental Quality Act 1974 of Malaysia. The laboratory must maintain a waste management log to ensure compliance.</w:t>
      </w:r>
    </w:p>
    <w:bookmarkEnd w:id="31"/>
    <w:bookmarkStart w:id="32" w:name="conclusion"/>
    <w:p>
      <w:pPr>
        <w:pStyle w:val="Heading2"/>
      </w:pPr>
      <w:r>
        <w:t xml:space="preserve">8. Conclusion</w:t>
      </w:r>
    </w:p>
    <w:p>
      <w:pPr>
        <w:pStyle w:val="FirstParagraph"/>
      </w:pPr>
      <w:r>
        <w:t xml:space="preserve">This Experiment Protocol provides a structured approach for conducting CO2 EOR experiments in Kuala Lumpur, Malaysia. By adhering to these guidelines, Petroleum Engineers can ensure the safety, accuracy, and relevance of their research, contributing to the advancement of the oil and gas industry in Malaysia.</w:t>
      </w:r>
    </w:p>
    <w:bookmarkEnd w:id="32"/>
    <w:p>
      <w:pPr>
        <w:pStyle w:val="BodyText"/>
      </w:pPr>
      <w:r>
        <w:rPr>
          <w:bCs/>
          <w:b/>
        </w:rPr>
        <w:t xml:space="preserve">Approved By:</w:t>
      </w:r>
      <w:r>
        <w:t xml:space="preserve"> </w:t>
      </w:r>
      <w:r>
        <w:t xml:space="preserve">Dr. Ahmad Razak, Senior Petroleum Engineer</w:t>
      </w:r>
    </w:p>
    <w:p>
      <w:pPr>
        <w:pStyle w:val="BodyText"/>
      </w:pPr>
      <w:r>
        <w:rPr>
          <w:bCs/>
          <w:b/>
        </w:rPr>
        <w:t xml:space="preserve">Organization:</w:t>
      </w:r>
      <w:r>
        <w:t xml:space="preserve"> </w:t>
      </w:r>
      <w:r>
        <w:t xml:space="preserve">Kuala Lumpur Petroleum Research Institute</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via CO2 Injection - Kuala Lumpur, Malaysia</dc:title>
  <dc:creator/>
  <dc:language>en</dc:language>
  <cp:keywords/>
  <dcterms:created xsi:type="dcterms:W3CDTF">2026-10-10T02:32:29Z</dcterms:created>
  <dcterms:modified xsi:type="dcterms:W3CDTF">2026-10-10T02:32:29Z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