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Enhanced</w:t>
      </w:r>
      <w:r>
        <w:t xml:space="preserve"> </w:t>
      </w:r>
      <w:r>
        <w:t xml:space="preserve">Oil</w:t>
      </w:r>
      <w:r>
        <w:t xml:space="preserve"> </w:t>
      </w:r>
      <w:r>
        <w:t xml:space="preserve">Recovery</w:t>
      </w:r>
      <w:r>
        <w:t xml:space="preserve"> </w:t>
      </w:r>
      <w:r>
        <w:t xml:space="preserve">Simulation</w:t>
      </w:r>
      <w:r>
        <w:t xml:space="preserve"> </w:t>
      </w:r>
      <w:r>
        <w:t xml:space="preserve">for</w:t>
      </w:r>
      <w:r>
        <w:t xml:space="preserve"> </w:t>
      </w:r>
      <w:r>
        <w:t xml:space="preserve">Philippine</w:t>
      </w:r>
      <w:r>
        <w:t xml:space="preserve"> </w:t>
      </w:r>
      <w:r>
        <w:t xml:space="preserve">Reservoirs</w:t>
      </w:r>
    </w:p>
    <w:bookmarkStart w:id="20" w:name="Xdce2c23d88759d4dbb1f15c8887692338e91d3c"/>
    <w:p>
      <w:pPr>
        <w:pStyle w:val="Heading1"/>
      </w:pPr>
      <w:r>
        <w:t xml:space="preserve">Experiment Protocol: Enhanced Oil Recovery Simulation for Philippine Reservoirs</w:t>
      </w:r>
    </w:p>
    <w:p>
      <w:pPr>
        <w:pStyle w:val="FirstParagraph"/>
      </w:pPr>
      <w:r>
        <w:rPr>
          <w:bCs/>
          <w:b/>
        </w:rPr>
        <w:t xml:space="preserve">Location:</w:t>
      </w:r>
      <w:r>
        <w:t xml:space="preserve"> </w:t>
      </w:r>
      <w:r>
        <w:t xml:space="preserve">Petroleum Engineering Research Laboratory, Manila, Philippines</w:t>
      </w:r>
    </w:p>
    <w:p>
      <w:pPr>
        <w:pStyle w:val="BodyText"/>
      </w:pPr>
      <w:r>
        <w:rPr>
          <w:bCs/>
          <w:b/>
        </w:rPr>
        <w:t xml:space="preserve">Discipline:</w:t>
      </w:r>
      <w:r>
        <w:t xml:space="preserve"> </w:t>
      </w:r>
      <w:r>
        <w:t xml:space="preserve">Petroleum Engineering</w:t>
      </w:r>
    </w:p>
    <w:p>
      <w:pPr>
        <w:pStyle w:val="BodyText"/>
      </w:pPr>
      <w:r>
        <w:rPr>
          <w:bCs/>
          <w:b/>
        </w:rPr>
        <w:t xml:space="preserve">Protocol ID:</w:t>
      </w:r>
      <w:r>
        <w:t xml:space="preserve"> </w:t>
      </w:r>
      <w:r>
        <w:t xml:space="preserve">PE-MNL-2023-EOR-04</w:t>
      </w:r>
    </w:p>
    <w:p>
      <w:pPr>
        <w:pStyle w:val="BodyText"/>
      </w:pPr>
      <w:r>
        <w:rPr>
          <w:bCs/>
          <w:b/>
        </w:rPr>
        <w:t xml:space="preserve">Date:</w:t>
      </w:r>
      <w:r>
        <w:t xml:space="preserve"> </w:t>
      </w:r>
      <w:r>
        <w:t xml:space="preserve">October 24, 2023</w:t>
      </w:r>
    </w:p>
    <w:p>
      <w:pPr>
        <w:pStyle w:val="BodyText"/>
      </w:pPr>
      <w:r>
        <w:rPr>
          <w:bCs/>
          <w:b/>
        </w:rPr>
        <w:t xml:space="preserve">Prepared By:</w:t>
      </w:r>
      <w:r>
        <w:t xml:space="preserve"> </w:t>
      </w:r>
      <w:r>
        <w:t xml:space="preserve">Senior Petroleum Engineer, Research Division</w:t>
      </w:r>
    </w:p>
    <w:bookmarkEnd w:id="20"/>
    <w:bookmarkStart w:id="21" w:name="objective-and-scope"/>
    <w:p>
      <w:pPr>
        <w:pStyle w:val="Heading2"/>
      </w:pPr>
      <w:r>
        <w:t xml:space="preserve">1. Objective and Scope</w:t>
      </w:r>
    </w:p>
    <w:p>
      <w:pPr>
        <w:pStyle w:val="FirstParagraph"/>
      </w:pPr>
      <w:r>
        <w:t xml:space="preserve">This Experiment Protocol outlines the standardized procedures for conducting laboratory-scale Enhanced Oil Recovery (EOR) simulations specifically tailored to the geological and fluid properties of reservoirs found in the Philippines. The primary objective is to evaluate the efficacy of chemical flooding agents in increasing oil recovery rates from carbonate and sandstone formations typical of the Manila Basin and surrounding offshore fields.</w:t>
      </w:r>
    </w:p>
    <w:p>
      <w:pPr>
        <w:pStyle w:val="BodyText"/>
      </w:pPr>
      <w:r>
        <w:t xml:space="preserve">As a Petroleum Engineer operating within the regulatory framework of the Philippines, adherence to this protocol ensures that data collected is scientifically valid, reproducible, and compliant with the standards set by the Philippine Department of Energy (DOE) and the Philippine Institute of Volcanology and Seismology (PHIVOLCS) regarding subsurface operations. This document serves as the definitive guide for all experimental activities conducted in Manila-based research facilities.</w:t>
      </w:r>
    </w:p>
    <w:bookmarkEnd w:id="21"/>
    <w:bookmarkStart w:id="22" w:name="safety-and-regulatory-compliance"/>
    <w:p>
      <w:pPr>
        <w:pStyle w:val="Heading2"/>
      </w:pPr>
      <w:r>
        <w:t xml:space="preserve">2. Safety and Regulatory Compliance</w:t>
      </w:r>
    </w:p>
    <w:p>
      <w:pPr>
        <w:pStyle w:val="FirstParagraph"/>
      </w:pPr>
      <w:r>
        <w:t xml:space="preserve">Safety is paramount in all petroleum engineering experiments. Given the location in Manila, this protocol strictly adheres to the Occupational Safety and Health Standards (OSHS) of the Philippines.</w:t>
      </w:r>
    </w:p>
    <w:p>
      <w:pPr>
        <w:numPr>
          <w:ilvl w:val="0"/>
          <w:numId w:val="1001"/>
        </w:numPr>
        <w:pStyle w:val="Compact"/>
      </w:pPr>
      <w:r>
        <w:rPr>
          <w:bCs/>
          <w:b/>
        </w:rPr>
        <w:t xml:space="preserve">Personal Protective Equipment (PPE):</w:t>
      </w:r>
      <w:r>
        <w:t xml:space="preserve"> </w:t>
      </w:r>
      <w:r>
        <w:t xml:space="preserve">All personnel must wear ANSI-approved safety goggles, chemical-resistant gloves, lab coats, and steel-toed boots at all times within the laboratory.</w:t>
      </w:r>
    </w:p>
    <w:p>
      <w:pPr>
        <w:numPr>
          <w:ilvl w:val="0"/>
          <w:numId w:val="1001"/>
        </w:numPr>
        <w:pStyle w:val="Compact"/>
      </w:pPr>
      <w:r>
        <w:rPr>
          <w:bCs/>
          <w:b/>
        </w:rPr>
        <w:t xml:space="preserve">Chemical Handling:</w:t>
      </w:r>
      <w:r>
        <w:t xml:space="preserve"> </w:t>
      </w:r>
      <w:r>
        <w:t xml:space="preserve">All chemicals used in the EOR simulation must be handled according to their Material Safety Data Sheets (MSDS). Proper ventilation is required, especially when handling volatile organic compounds.</w:t>
      </w:r>
    </w:p>
    <w:p>
      <w:pPr>
        <w:numPr>
          <w:ilvl w:val="0"/>
          <w:numId w:val="1001"/>
        </w:numPr>
        <w:pStyle w:val="Compact"/>
      </w:pPr>
      <w:r>
        <w:rPr>
          <w:bCs/>
          <w:b/>
        </w:rPr>
        <w:t xml:space="preserve">Waste Disposal:</w:t>
      </w:r>
      <w:r>
        <w:t xml:space="preserve"> </w:t>
      </w:r>
      <w:r>
        <w:t xml:space="preserve">All chemical waste and used core samples must be disposed of in accordance with the Philippine Clean Water Act and local Manila waste management regulations. No hazardous materials are to be discharged into the municipal sewage system.</w:t>
      </w:r>
    </w:p>
    <w:p>
      <w:pPr>
        <w:numPr>
          <w:ilvl w:val="0"/>
          <w:numId w:val="1001"/>
        </w:numPr>
        <w:pStyle w:val="Compact"/>
      </w:pPr>
      <w:r>
        <w:rPr>
          <w:bCs/>
          <w:b/>
        </w:rPr>
        <w:t xml:space="preserve">Emergency Procedures:</w:t>
      </w:r>
      <w:r>
        <w:t xml:space="preserve"> </w:t>
      </w:r>
      <w:r>
        <w:t xml:space="preserve">In the event of a spill or fire, immediately activate the laboratory emergency alarm and follow the evacuation routes posted in the Manila facility. Contact the local fire department and the facility safety officer.</w:t>
      </w:r>
    </w:p>
    <w:bookmarkEnd w:id="22"/>
    <w:bookmarkStart w:id="23" w:name="materials-and-equipment"/>
    <w:p>
      <w:pPr>
        <w:pStyle w:val="Heading2"/>
      </w:pPr>
      <w:r>
        <w:t xml:space="preserve">3. Materials and Equipment</w:t>
      </w:r>
    </w:p>
    <w:p>
      <w:pPr>
        <w:pStyle w:val="FirstParagraph"/>
      </w:pPr>
      <w:r>
        <w:t xml:space="preserve">The following materials and equipment are required for this experiment. All equipment must be calibrated and certified before use.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Core Samples</w:t>
            </w:r>
          </w:p>
        </w:tc>
        <w:tc>
          <w:tcPr/>
          <w:p>
            <w:pPr>
              <w:pStyle w:val="Compact"/>
              <w:jc w:val="left"/>
            </w:pPr>
            <w:r>
              <w:t xml:space="preserve">Representative of Philippine reservoirs (e.g., from the Manila Trench or offshore fields)</w:t>
            </w:r>
          </w:p>
        </w:tc>
        <w:tc>
          <w:tcPr/>
          <w:p>
            <w:pPr>
              <w:pStyle w:val="Compact"/>
              <w:jc w:val="left"/>
            </w:pPr>
            <w:r>
              <w:t xml:space="preserve">5</w:t>
            </w:r>
          </w:p>
        </w:tc>
      </w:tr>
      <w:tr>
        <w:tc>
          <w:tcPr/>
          <w:p>
            <w:pPr>
              <w:pStyle w:val="Compact"/>
              <w:jc w:val="left"/>
            </w:pPr>
            <w:r>
              <w:t xml:space="preserve">Core Holder</w:t>
            </w:r>
          </w:p>
        </w:tc>
        <w:tc>
          <w:tcPr/>
          <w:p>
            <w:pPr>
              <w:pStyle w:val="Compact"/>
              <w:jc w:val="left"/>
            </w:pPr>
            <w:r>
              <w:t xml:space="preserve">High-pressure, high-temperature capable</w:t>
            </w:r>
          </w:p>
        </w:tc>
        <w:tc>
          <w:tcPr/>
          <w:p>
            <w:pPr>
              <w:pStyle w:val="Compact"/>
              <w:jc w:val="left"/>
            </w:pPr>
            <w:r>
              <w:t xml:space="preserve">1</w:t>
            </w:r>
          </w:p>
        </w:tc>
      </w:tr>
      <w:tr>
        <w:tc>
          <w:tcPr/>
          <w:p>
            <w:pPr>
              <w:pStyle w:val="Compact"/>
              <w:jc w:val="left"/>
            </w:pPr>
            <w:r>
              <w:t xml:space="preserve">Injection Pump</w:t>
            </w:r>
          </w:p>
        </w:tc>
        <w:tc>
          <w:tcPr/>
          <w:p>
            <w:pPr>
              <w:pStyle w:val="Compact"/>
              <w:jc w:val="left"/>
            </w:pPr>
            <w:r>
              <w:t xml:space="preserve">Precision syringe pump capable of maintaining constant flow rate</w:t>
            </w:r>
          </w:p>
        </w:tc>
        <w:tc>
          <w:tcPr/>
          <w:p>
            <w:pPr>
              <w:pStyle w:val="Compact"/>
              <w:jc w:val="left"/>
            </w:pPr>
            <w:r>
              <w:t xml:space="preserve">1</w:t>
            </w:r>
          </w:p>
        </w:tc>
      </w:tr>
      <w:tr>
        <w:tc>
          <w:tcPr/>
          <w:p>
            <w:pPr>
              <w:pStyle w:val="Compact"/>
              <w:jc w:val="left"/>
            </w:pPr>
            <w:r>
              <w:t xml:space="preserve">Chemical Flooding Agents</w:t>
            </w:r>
          </w:p>
        </w:tc>
        <w:tc>
          <w:tcPr/>
          <w:p>
            <w:pPr>
              <w:pStyle w:val="Compact"/>
              <w:jc w:val="left"/>
            </w:pPr>
            <w:r>
              <w:t xml:space="preserve">Surfactants, polymers, and alkaline solutions</w:t>
            </w:r>
          </w:p>
        </w:tc>
        <w:tc>
          <w:tcPr/>
          <w:p>
            <w:pPr>
              <w:pStyle w:val="Compact"/>
              <w:jc w:val="left"/>
            </w:pPr>
            <w:r>
              <w:t xml:space="preserve">As required</w:t>
            </w:r>
          </w:p>
        </w:tc>
      </w:tr>
      <w:tr>
        <w:tc>
          <w:tcPr/>
          <w:p>
            <w:pPr>
              <w:pStyle w:val="Compact"/>
              <w:jc w:val="left"/>
            </w:pPr>
            <w:r>
              <w:t xml:space="preserve">Brine Solution</w:t>
            </w:r>
          </w:p>
        </w:tc>
        <w:tc>
          <w:tcPr/>
          <w:p>
            <w:pPr>
              <w:pStyle w:val="Compact"/>
              <w:jc w:val="left"/>
            </w:pPr>
            <w:r>
              <w:t xml:space="preserve">Simulating Philippine reservoir brine composition</w:t>
            </w:r>
          </w:p>
        </w:tc>
        <w:tc>
          <w:tcPr/>
          <w:p>
            <w:pPr>
              <w:pStyle w:val="Compact"/>
              <w:jc w:val="left"/>
            </w:pPr>
            <w:r>
              <w:t xml:space="preserve">10 L</w:t>
            </w:r>
          </w:p>
        </w:tc>
      </w:tr>
      <w:tr>
        <w:tc>
          <w:tcPr/>
          <w:p>
            <w:pPr>
              <w:pStyle w:val="Compact"/>
              <w:jc w:val="left"/>
            </w:pPr>
            <w:r>
              <w:t xml:space="preserve">Pressure Transducers</w:t>
            </w:r>
          </w:p>
        </w:tc>
        <w:tc>
          <w:tcPr/>
          <w:p>
            <w:pPr>
              <w:pStyle w:val="Compact"/>
              <w:jc w:val="left"/>
            </w:pPr>
            <w:r>
              <w:t xml:space="preserve">Calibrated for high-pressure readings</w:t>
            </w:r>
          </w:p>
        </w:tc>
        <w:tc>
          <w:tcPr/>
          <w:p>
            <w:pPr>
              <w:pStyle w:val="Compact"/>
              <w:jc w:val="left"/>
            </w:pPr>
            <w:r>
              <w:t xml:space="preserve">2</w:t>
            </w:r>
          </w:p>
        </w:tc>
      </w:tr>
      <w:tr>
        <w:tc>
          <w:tcPr/>
          <w:p>
            <w:pPr>
              <w:pStyle w:val="Compact"/>
              <w:jc w:val="left"/>
            </w:pPr>
            <w:r>
              <w:t xml:space="preserve">Data Acquisition System</w:t>
            </w:r>
          </w:p>
        </w:tc>
        <w:tc>
          <w:tcPr/>
          <w:p>
            <w:pPr>
              <w:pStyle w:val="Compact"/>
              <w:jc w:val="left"/>
            </w:pPr>
            <w:r>
              <w:t xml:space="preserve">For real-time monitoring of pressure and flow rates</w:t>
            </w:r>
          </w:p>
        </w:tc>
        <w:tc>
          <w:tcPr/>
          <w:p>
            <w:pPr>
              <w:pStyle w:val="Compact"/>
              <w:jc w:val="left"/>
            </w:pPr>
            <w:r>
              <w:t xml:space="preserve">1</w:t>
            </w:r>
          </w:p>
        </w:tc>
      </w:tr>
    </w:tbl>
    <w:bookmarkEnd w:id="23"/>
    <w:bookmarkStart w:id="29" w:name="experimental-procedure"/>
    <w:p>
      <w:pPr>
        <w:pStyle w:val="Heading2"/>
      </w:pPr>
      <w:r>
        <w:t xml:space="preserve">4. Experimental Procedure</w:t>
      </w:r>
    </w:p>
    <w:bookmarkStart w:id="24" w:name="preparation-of-core-samples"/>
    <w:p>
      <w:pPr>
        <w:pStyle w:val="Heading3"/>
      </w:pPr>
      <w:r>
        <w:t xml:space="preserve">4.1. Preparation of Core Samples</w:t>
      </w:r>
    </w:p>
    <w:p>
      <w:pPr>
        <w:pStyle w:val="FirstParagraph"/>
      </w:pPr>
      <w:r>
        <w:t xml:space="preserve">Begin by cleaning the core samples to remove any contaminants. This is done by flushing the cores with toluene followed by distilled water. The cores are then dried in an oven at 105°C for 24 hours. Once dried, the cores are saturated with the simulated Philippine reservoir brine under vacuum conditions to ensure complete saturation.</w:t>
      </w:r>
    </w:p>
    <w:bookmarkEnd w:id="24"/>
    <w:bookmarkStart w:id="25" w:name="setup-of-the-experimental-apparatus"/>
    <w:p>
      <w:pPr>
        <w:pStyle w:val="Heading3"/>
      </w:pPr>
      <w:r>
        <w:t xml:space="preserve">4.2. Setup of the Experimental Apparatus</w:t>
      </w:r>
    </w:p>
    <w:p>
      <w:pPr>
        <w:pStyle w:val="FirstParagraph"/>
      </w:pPr>
      <w:r>
        <w:t xml:space="preserve">Assemble the core holder and connect it to the injection pump and data acquisition system. Ensure all connections are tight and leak-free. Calibrate the pressure transducers and flow meters before starting the experiment.</w:t>
      </w:r>
    </w:p>
    <w:bookmarkEnd w:id="25"/>
    <w:bookmarkStart w:id="26" w:name="water-flooding-phase"/>
    <w:p>
      <w:pPr>
        <w:pStyle w:val="Heading3"/>
      </w:pPr>
      <w:r>
        <w:t xml:space="preserve">4.3. Water Flooding Phase</w:t>
      </w:r>
    </w:p>
    <w:p>
      <w:pPr>
        <w:pStyle w:val="FirstParagraph"/>
      </w:pPr>
      <w:r>
        <w:t xml:space="preserve">Inject the simulated reservoir brine into the core sample at a constant flow rate. Monitor the pressure drop across the core and the volume of oil produced. Continue this phase until the water cut reaches 98%, indicating that primary and secondary recovery methods have been exhausted.</w:t>
      </w:r>
    </w:p>
    <w:bookmarkEnd w:id="26"/>
    <w:bookmarkStart w:id="27" w:name="chemical-flooding-phase"/>
    <w:p>
      <w:pPr>
        <w:pStyle w:val="Heading3"/>
      </w:pPr>
      <w:r>
        <w:t xml:space="preserve">4.4. Chemical Flooding Phase</w:t>
      </w:r>
    </w:p>
    <w:p>
      <w:pPr>
        <w:pStyle w:val="FirstParagraph"/>
      </w:pPr>
      <w:r>
        <w:t xml:space="preserve">Switch the injection fluid to the chemical flooding agent. Maintain the same flow rate as in the water flooding phase. Monitor the pressure drop and oil production closely. The chemical agent is designed to reduce the interfacial tension between the oil and water, allowing for more efficient oil displacement.</w:t>
      </w:r>
    </w:p>
    <w:bookmarkEnd w:id="27"/>
    <w:bookmarkStart w:id="28" w:name="data-collection-and-analysis"/>
    <w:p>
      <w:pPr>
        <w:pStyle w:val="Heading3"/>
      </w:pPr>
      <w:r>
        <w:t xml:space="preserve">4.5. Data Collection and Analysis</w:t>
      </w:r>
    </w:p>
    <w:p>
      <w:pPr>
        <w:pStyle w:val="FirstParagraph"/>
      </w:pPr>
      <w:r>
        <w:t xml:space="preserve">Record all data points, including pressure, flow rate, and oil production, at regular intervals. After the experiment, analyze the data to determine the incremental oil recovery achieved by the chemical flooding agent. Compare the results with baseline data from previous experiments conducted in Manila.</w:t>
      </w:r>
    </w:p>
    <w:bookmarkEnd w:id="28"/>
    <w:bookmarkEnd w:id="29"/>
    <w:bookmarkStart w:id="30" w:name="expected-outcomes-and-significance"/>
    <w:p>
      <w:pPr>
        <w:pStyle w:val="Heading2"/>
      </w:pPr>
      <w:r>
        <w:t xml:space="preserve">5. Expected Outcomes and Significance</w:t>
      </w:r>
    </w:p>
    <w:p>
      <w:pPr>
        <w:pStyle w:val="FirstParagraph"/>
      </w:pPr>
      <w:r>
        <w:t xml:space="preserve">This experiment aims to demonstrate the potential of chemical flooding as an EOR technique for Philippine reservoirs. Successful implementation of this protocol could lead to increased oil recovery rates, contributing to the energy security of the Philippines. The data generated will also provide valuable insights for Petroleum Engineers working in the region, helping to optimize field development plans and reduce environmental impact.</w:t>
      </w:r>
    </w:p>
    <w:p>
      <w:pPr>
        <w:pStyle w:val="BodyText"/>
      </w:pPr>
      <w:r>
        <w:t xml:space="preserve">By adhering to this Experiment Protocol, we ensure that our research is conducted with the highest standards of scientific rigor and safety, benefiting both the petroleum industry and the community of Manila.</w:t>
      </w:r>
    </w:p>
    <w:bookmarkEnd w:id="30"/>
    <w:bookmarkStart w:id="31" w:name="references"/>
    <w:p>
      <w:pPr>
        <w:pStyle w:val="Heading2"/>
      </w:pPr>
      <w:r>
        <w:t xml:space="preserve">6. References</w:t>
      </w:r>
    </w:p>
    <w:p>
      <w:pPr>
        <w:numPr>
          <w:ilvl w:val="0"/>
          <w:numId w:val="1002"/>
        </w:numPr>
        <w:pStyle w:val="Compact"/>
      </w:pPr>
      <w:r>
        <w:t xml:space="preserve">Philippine Department of Energy (DOE) Guidelines on Petroleum Exploration and Production.</w:t>
      </w:r>
    </w:p>
    <w:p>
      <w:pPr>
        <w:numPr>
          <w:ilvl w:val="0"/>
          <w:numId w:val="1002"/>
        </w:numPr>
        <w:pStyle w:val="Compact"/>
      </w:pPr>
      <w:r>
        <w:t xml:space="preserve">Philippine Institute of Volcanology and Seismology (PHIVOLCS) Subsurface Activity Regulations.</w:t>
      </w:r>
    </w:p>
    <w:p>
      <w:pPr>
        <w:numPr>
          <w:ilvl w:val="0"/>
          <w:numId w:val="1002"/>
        </w:numPr>
        <w:pStyle w:val="Compact"/>
      </w:pPr>
      <w:r>
        <w:t xml:space="preserve">Occupational Safety and Health Standards (OSHS) of the Philippines.</w:t>
      </w:r>
    </w:p>
    <w:p>
      <w:pPr>
        <w:numPr>
          <w:ilvl w:val="0"/>
          <w:numId w:val="1002"/>
        </w:numPr>
        <w:pStyle w:val="Compact"/>
      </w:pPr>
      <w:r>
        <w:t xml:space="preserve">Philippine Clean Water Act of 2004.</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Enhanced Oil Recovery Simulation for Philippine Reservoirs</dc:title>
  <dc:creator/>
  <dc:language>en</dc:language>
  <cp:keywords/>
  <dcterms:created xsi:type="dcterms:W3CDTF">2026-10-10T05:02:55Z</dcterms:created>
  <dcterms:modified xsi:type="dcterms:W3CDTF">2026-10-10T05:02:55Z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