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Enhanced</w:t>
      </w:r>
      <w:r>
        <w:t xml:space="preserve"> </w:t>
      </w:r>
      <w:r>
        <w:t xml:space="preserve">Oil</w:t>
      </w:r>
      <w:r>
        <w:t xml:space="preserve"> </w:t>
      </w:r>
      <w:r>
        <w:t xml:space="preserve">Recovery</w:t>
      </w:r>
      <w:r>
        <w:t xml:space="preserve"> </w:t>
      </w:r>
      <w:r>
        <w:t xml:space="preserve">in</w:t>
      </w:r>
      <w:r>
        <w:t xml:space="preserve"> </w:t>
      </w:r>
      <w:r>
        <w:t xml:space="preserve">Moscow</w:t>
      </w:r>
      <w:r>
        <w:t xml:space="preserve"> </w:t>
      </w:r>
      <w:r>
        <w:t xml:space="preserve">Basin</w:t>
      </w:r>
    </w:p>
    <w:bookmarkStart w:id="29" w:name="X1a77bad771968dea16cfd8cd76488064a70cb4e"/>
    <w:p>
      <w:pPr>
        <w:pStyle w:val="Heading1"/>
      </w:pPr>
      <w:r>
        <w:t xml:space="preserve">Experiment Protocol: Subsurface Thermal Injection Analysis</w:t>
      </w:r>
    </w:p>
    <w:p>
      <w:pPr>
        <w:pStyle w:val="FirstParagraph"/>
      </w:pPr>
      <w:r>
        <w:rPr>
          <w:bCs/>
          <w:b/>
        </w:rPr>
        <w:t xml:space="preserve">Protocol ID:</w:t>
      </w:r>
      <w:r>
        <w:t xml:space="preserve"> </w:t>
      </w:r>
      <w:r>
        <w:t xml:space="preserve">RU-MOW-PE-2023-089</w:t>
      </w:r>
    </w:p>
    <w:p>
      <w:pPr>
        <w:pStyle w:val="BodyText"/>
      </w:pPr>
      <w:r>
        <w:rPr>
          <w:bCs/>
          <w:b/>
        </w:rPr>
        <w:t xml:space="preserve">Location:</w:t>
      </w:r>
      <w:r>
        <w:t xml:space="preserve"> </w:t>
      </w:r>
      <w:r>
        <w:t xml:space="preserve">Moscow Region, Russia (Moscow Basin Sedimentary Complex)</w:t>
      </w:r>
    </w:p>
    <w:p>
      <w:pPr>
        <w:pStyle w:val="BodyText"/>
      </w:pPr>
      <w:r>
        <w:rPr>
          <w:bCs/>
          <w:b/>
        </w:rPr>
        <w:t xml:space="preserve">Discipline:</w:t>
      </w:r>
      <w:r>
        <w:t xml:space="preserve"> </w:t>
      </w:r>
      <w:r>
        <w:t xml:space="preserve">Petroleum Engineering</w:t>
      </w:r>
    </w:p>
    <w:p>
      <w:pPr>
        <w:pStyle w:val="BodyText"/>
      </w:pPr>
      <w:r>
        <w:rPr>
          <w:bCs/>
          <w:b/>
        </w:rPr>
        <w:t xml:space="preserve">Date of Issue:</w:t>
      </w:r>
      <w:r>
        <w:t xml:space="preserve"> </w:t>
      </w:r>
      <w:r>
        <w:t xml:space="preserve">October 24, 2023</w:t>
      </w:r>
    </w:p>
    <w:p>
      <w:pPr>
        <w:pStyle w:val="BodyText"/>
      </w:pPr>
      <w:r>
        <w:rPr>
          <w:bCs/>
          <w:b/>
        </w:rPr>
        <w:t xml:space="preserve">Classification:</w:t>
      </w:r>
      <w:r>
        <w:t xml:space="preserve"> </w:t>
      </w:r>
      <w:r>
        <w:t xml:space="preserve">Internal Technical / Restricted</w:t>
      </w:r>
    </w:p>
    <w:bookmarkStart w:id="20" w:name="objective-and-scope"/>
    <w:p>
      <w:pPr>
        <w:pStyle w:val="Heading2"/>
      </w:pPr>
      <w:r>
        <w:t xml:space="preserve">1. Objective and Scope</w:t>
      </w:r>
    </w:p>
    <w:p>
      <w:pPr>
        <w:pStyle w:val="FirstParagraph"/>
      </w:pPr>
      <w:r>
        <w:t xml:space="preserve">This Experiment Protocol outlines the rigorous methodology for conducting a field-scale pilot test regarding Enhanced Oil Recovery (EOR) techniques within the specific geological context of the Moscow Basin. The primary objective is to evaluate the efficacy of low-temperature thermal injection combined with chemical surfactants to mobilize heavy hydrocarbon fractions trapped in low-permeability carbonate reservoirs.</w:t>
      </w:r>
    </w:p>
    <w:p>
      <w:pPr>
        <w:pStyle w:val="BodyText"/>
      </w:pPr>
      <w:r>
        <w:t xml:space="preserve">As a Petroleum Engineer operating within the regulatory and geological framework of Russia, specifically the Moscow region, this protocol addresses the unique challenges of shallow-depth reservoirs often utilized for gas storage but containing residual oil pockets. The experiment aims to optimize extraction rates while adhering to the strict environmental standards mandated by the Ministry of Natural Resources and Ecology of the Russian Federation.</w:t>
      </w:r>
    </w:p>
    <w:bookmarkEnd w:id="20"/>
    <w:bookmarkStart w:id="21" w:name="geological-and-operational-context"/>
    <w:p>
      <w:pPr>
        <w:pStyle w:val="Heading2"/>
      </w:pPr>
      <w:r>
        <w:t xml:space="preserve">2. Geological and Operational Context</w:t>
      </w:r>
    </w:p>
    <w:p>
      <w:pPr>
        <w:pStyle w:val="FirstParagraph"/>
      </w:pPr>
      <w:r>
        <w:t xml:space="preserve">The target site is located in the Moscow Oblast, characterized by the complex stratigraphy of the Moscow Basin. The reservoir interval targets the Upper Jurassic and Lower Cretaceous formations. These formations are known for their heterogeneity and variable porosity. The Petroleum Engineer must account for the specific lithology, which includes dolomites and limestones that react differently to thermal stress compared to the sandstone reservoirs found in Western Siberia.</w:t>
      </w:r>
    </w:p>
    <w:p>
      <w:pPr>
        <w:pStyle w:val="BodyText"/>
      </w:pPr>
      <w:r>
        <w:t xml:space="preserve">The operational environment in Russia Moscow requires consideration of seasonal temperature variations affecting surface equipment and the logistical constraints of operating near a major metropolitan area. The protocol ensures that all subsurface activities do not compromise the structural integrity of the overlying aquifers used for municipal water supply in the Moscow region.</w:t>
      </w:r>
    </w:p>
    <w:bookmarkEnd w:id="21"/>
    <w:bookmarkStart w:id="25" w:name="methodology"/>
    <w:p>
      <w:pPr>
        <w:pStyle w:val="Heading2"/>
      </w:pPr>
      <w:r>
        <w:t xml:space="preserve">3. Methodology</w:t>
      </w:r>
    </w:p>
    <w:bookmarkStart w:id="22" w:name="pre-experiment-characterization"/>
    <w:p>
      <w:pPr>
        <w:pStyle w:val="Heading3"/>
      </w:pPr>
      <w:r>
        <w:t xml:space="preserve">3.1. Pre-Experiment Characterization</w:t>
      </w:r>
    </w:p>
    <w:p>
      <w:pPr>
        <w:pStyle w:val="FirstParagraph"/>
      </w:pPr>
      <w:r>
        <w:t xml:space="preserve">Before the initiation of the injection phase, a comprehensive baseline study will be conducted. This includes:</w:t>
      </w:r>
    </w:p>
    <w:p>
      <w:pPr>
        <w:numPr>
          <w:ilvl w:val="0"/>
          <w:numId w:val="1001"/>
        </w:numPr>
        <w:pStyle w:val="Compact"/>
      </w:pPr>
      <w:r>
        <w:rPr>
          <w:bCs/>
          <w:b/>
        </w:rPr>
        <w:t xml:space="preserve">Core Analysis:</w:t>
      </w:r>
      <w:r>
        <w:t xml:space="preserve"> </w:t>
      </w:r>
      <w:r>
        <w:t xml:space="preserve">Extraction of core samples to determine porosity, permeability, and wettability of the rock matrix.</w:t>
      </w:r>
    </w:p>
    <w:p>
      <w:pPr>
        <w:numPr>
          <w:ilvl w:val="0"/>
          <w:numId w:val="1001"/>
        </w:numPr>
        <w:pStyle w:val="Compact"/>
      </w:pPr>
      <w:r>
        <w:rPr>
          <w:bCs/>
          <w:b/>
        </w:rPr>
        <w:t xml:space="preserve">Fluid Sampling:</w:t>
      </w:r>
      <w:r>
        <w:t xml:space="preserve"> </w:t>
      </w:r>
      <w:r>
        <w:t xml:space="preserve">Analysis of reservoir fluid viscosity, density, and composition to tailor the chemical surfactant blend.</w:t>
      </w:r>
    </w:p>
    <w:p>
      <w:pPr>
        <w:numPr>
          <w:ilvl w:val="0"/>
          <w:numId w:val="1001"/>
        </w:numPr>
        <w:pStyle w:val="Compact"/>
      </w:pPr>
      <w:r>
        <w:rPr>
          <w:bCs/>
          <w:b/>
        </w:rPr>
        <w:t xml:space="preserve">Geophysical Logging:</w:t>
      </w:r>
      <w:r>
        <w:t xml:space="preserve"> </w:t>
      </w:r>
      <w:r>
        <w:t xml:space="preserve">Deployment of temperature and pressure gauges in the observation wells to establish baseline subsurface conditions.</w:t>
      </w:r>
    </w:p>
    <w:bookmarkEnd w:id="22"/>
    <w:bookmarkStart w:id="23" w:name="injection-phase"/>
    <w:p>
      <w:pPr>
        <w:pStyle w:val="Heading3"/>
      </w:pPr>
      <w:r>
        <w:t xml:space="preserve">3.2. Injection Phase</w:t>
      </w:r>
    </w:p>
    <w:p>
      <w:pPr>
        <w:pStyle w:val="FirstParagraph"/>
      </w:pPr>
      <w:r>
        <w:t xml:space="preserve">The experiment involves the injection of a heated water-surfactant mixture into Well A (Injector) at a controlled rate. The temperature of the injected fluid will be maintained at 60°C to reduce oil viscosity without inducing thermal fracturing in the brittle carbonate rock. The injection pressure will be monitored continuously to ensure it remains below the fracture gradient of the formation.</w:t>
      </w:r>
    </w:p>
    <w:p>
      <w:pPr>
        <w:pStyle w:val="BodyText"/>
      </w:pPr>
      <w:r>
        <w:t xml:space="preserve">The Petroleum Engineer will adjust the injection rate based on real-time pressure data. The chemical composition of the surfactant is designed to lower the interfacial tension between the oil and the brine, facilitating the displacement of oil towards Well B (Producer).</w:t>
      </w:r>
    </w:p>
    <w:bookmarkEnd w:id="23"/>
    <w:bookmarkStart w:id="24" w:name="monitoring-and-data-acquisition"/>
    <w:p>
      <w:pPr>
        <w:pStyle w:val="Heading3"/>
      </w:pPr>
      <w:r>
        <w:t xml:space="preserve">3.3. Monitoring and Data Acquisition</w:t>
      </w:r>
    </w:p>
    <w:p>
      <w:pPr>
        <w:pStyle w:val="FirstParagraph"/>
      </w:pPr>
      <w:r>
        <w:t xml:space="preserve">Continuous monitoring is critical for the success of this protocol. The following parameters will be recorded at 15-minute intervals:</w:t>
      </w:r>
    </w:p>
    <w:p>
      <w:pPr>
        <w:numPr>
          <w:ilvl w:val="0"/>
          <w:numId w:val="1002"/>
        </w:numPr>
        <w:pStyle w:val="Compact"/>
      </w:pPr>
      <w:r>
        <w:t xml:space="preserve">Injection pressure and flow rate.</w:t>
      </w:r>
    </w:p>
    <w:p>
      <w:pPr>
        <w:numPr>
          <w:ilvl w:val="0"/>
          <w:numId w:val="1002"/>
        </w:numPr>
        <w:pStyle w:val="Compact"/>
      </w:pPr>
      <w:r>
        <w:t xml:space="preserve">Production pressure and flow rate at Well B.</w:t>
      </w:r>
    </w:p>
    <w:p>
      <w:pPr>
        <w:numPr>
          <w:ilvl w:val="0"/>
          <w:numId w:val="1002"/>
        </w:numPr>
        <w:pStyle w:val="Compact"/>
      </w:pPr>
      <w:r>
        <w:t xml:space="preserve">Temperature profiles in both wells.</w:t>
      </w:r>
    </w:p>
    <w:p>
      <w:pPr>
        <w:numPr>
          <w:ilvl w:val="0"/>
          <w:numId w:val="1002"/>
        </w:numPr>
        <w:pStyle w:val="Compact"/>
      </w:pPr>
      <w:r>
        <w:t xml:space="preserve">Water cut and oil quality in the produced fluid.</w:t>
      </w:r>
    </w:p>
    <w:p>
      <w:pPr>
        <w:pStyle w:val="FirstParagraph"/>
      </w:pPr>
      <w:r>
        <w:t xml:space="preserve">Additionally, seismic micro-monitoring will be employed to track the movement of the thermal front and ensure containment within the target reservoir layer.</w:t>
      </w:r>
    </w:p>
    <w:bookmarkEnd w:id="24"/>
    <w:bookmarkEnd w:id="25"/>
    <w:bookmarkStart w:id="26" w:name="safety-and-environmental-compliance"/>
    <w:p>
      <w:pPr>
        <w:pStyle w:val="Heading2"/>
      </w:pPr>
      <w:r>
        <w:t xml:space="preserve">4. Safety and Environmental Compliance</w:t>
      </w:r>
    </w:p>
    <w:p>
      <w:pPr>
        <w:pStyle w:val="FirstParagraph"/>
      </w:pPr>
      <w:r>
        <w:t xml:space="preserve">Given the location in Russia Moscow, environmental protection is paramount. The protocol strictly adheres to Federal Law No. 7-FZ "On Environmental Protection."</w:t>
      </w:r>
    </w:p>
    <w:p>
      <w:pPr>
        <w:numPr>
          <w:ilvl w:val="0"/>
          <w:numId w:val="1003"/>
        </w:numPr>
        <w:pStyle w:val="Compact"/>
      </w:pPr>
      <w:r>
        <w:rPr>
          <w:bCs/>
          <w:b/>
        </w:rPr>
        <w:t xml:space="preserve">Containment:</w:t>
      </w:r>
      <w:r>
        <w:t xml:space="preserve"> </w:t>
      </w:r>
      <w:r>
        <w:t xml:space="preserve">Double-walled casing will be used to prevent any leakage of injected fluids into the freshwater aquifers.</w:t>
      </w:r>
    </w:p>
    <w:p>
      <w:pPr>
        <w:numPr>
          <w:ilvl w:val="0"/>
          <w:numId w:val="1003"/>
        </w:numPr>
        <w:pStyle w:val="Compact"/>
      </w:pPr>
      <w:r>
        <w:rPr>
          <w:bCs/>
          <w:b/>
        </w:rPr>
        <w:t xml:space="preserve">Waste Management:</w:t>
      </w:r>
      <w:r>
        <w:t xml:space="preserve"> </w:t>
      </w:r>
      <w:r>
        <w:t xml:space="preserve">All produced water and chemical waste will be treated on-site before disposal or reinjection.</w:t>
      </w:r>
    </w:p>
    <w:p>
      <w:pPr>
        <w:numPr>
          <w:ilvl w:val="0"/>
          <w:numId w:val="1003"/>
        </w:numPr>
        <w:pStyle w:val="Compact"/>
      </w:pPr>
      <w:r>
        <w:rPr>
          <w:bCs/>
          <w:b/>
        </w:rPr>
        <w:t xml:space="preserve">Emergency Response:</w:t>
      </w:r>
      <w:r>
        <w:t xml:space="preserve"> </w:t>
      </w:r>
      <w:r>
        <w:t xml:space="preserve">A dedicated emergency response team will be on standby to address any potential spills or equipment failures.</w:t>
      </w:r>
    </w:p>
    <w:bookmarkEnd w:id="26"/>
    <w:bookmarkStart w:id="27" w:name="data-analysis-and-reporting"/>
    <w:p>
      <w:pPr>
        <w:pStyle w:val="Heading2"/>
      </w:pPr>
      <w:r>
        <w:t xml:space="preserve">5. Data Analysis and Reporting</w:t>
      </w:r>
    </w:p>
    <w:p>
      <w:pPr>
        <w:pStyle w:val="FirstParagraph"/>
      </w:pPr>
      <w:r>
        <w:t xml:space="preserve">Upon completion of the 90-day injection cycle, the Petroleum Engineer will compile a comprehensive report. This report will include:</w:t>
      </w:r>
    </w:p>
    <w:p>
      <w:pPr>
        <w:numPr>
          <w:ilvl w:val="0"/>
          <w:numId w:val="1004"/>
        </w:numPr>
        <w:pStyle w:val="Compact"/>
      </w:pPr>
      <w:r>
        <w:t xml:space="preserve">Comparison of pre- and post-experiment production rates.</w:t>
      </w:r>
    </w:p>
    <w:p>
      <w:pPr>
        <w:numPr>
          <w:ilvl w:val="0"/>
          <w:numId w:val="1004"/>
        </w:numPr>
        <w:pStyle w:val="Compact"/>
      </w:pPr>
      <w:r>
        <w:t xml:space="preserve">Analysis of the thermal front propagation.</w:t>
      </w:r>
    </w:p>
    <w:p>
      <w:pPr>
        <w:numPr>
          <w:ilvl w:val="0"/>
          <w:numId w:val="1004"/>
        </w:numPr>
        <w:pStyle w:val="Compact"/>
      </w:pPr>
      <w:r>
        <w:t xml:space="preserve">Economic evaluation of the EOR technique for potential scaling.</w:t>
      </w:r>
    </w:p>
    <w:p>
      <w:pPr>
        <w:numPr>
          <w:ilvl w:val="0"/>
          <w:numId w:val="1004"/>
        </w:numPr>
        <w:pStyle w:val="Compact"/>
      </w:pPr>
      <w:r>
        <w:t xml:space="preserve">Recommendations for future operations in the Moscow Basin.</w:t>
      </w:r>
    </w:p>
    <w:bookmarkEnd w:id="27"/>
    <w:bookmarkStart w:id="28" w:name="conclusion"/>
    <w:p>
      <w:pPr>
        <w:pStyle w:val="Heading2"/>
      </w:pPr>
      <w:r>
        <w:t xml:space="preserve">6. Conclusion</w:t>
      </w:r>
    </w:p>
    <w:p>
      <w:pPr>
        <w:pStyle w:val="FirstParagraph"/>
      </w:pPr>
      <w:r>
        <w:t xml:space="preserve">This Experiment Protocol provides a structured approach to testing advanced recovery techniques in the unique geological setting of the Moscow Basin. By following this protocol, the Petroleum Engineer ensures that the experiment is conducted safely, efficiently, and in compliance with all regulatory requirements in Russia. The data gathered will contribute significantly to the understanding of EOR potential in shallow carbonate reservoirs.</w:t>
      </w:r>
    </w:p>
    <w:p>
      <w:pPr>
        <w:pStyle w:val="BodyText"/>
      </w:pPr>
      <w:r>
        <w:rPr>
          <w:bCs/>
          <w:b/>
        </w:rPr>
        <w:t xml:space="preserve">Lead Petroleum Engineer</w:t>
      </w:r>
      <w:r>
        <w:br/>
      </w:r>
      <w:r>
        <w:t xml:space="preserve">Name: ______________________</w:t>
      </w:r>
      <w:r>
        <w:br/>
      </w:r>
      <w:r>
        <w:t xml:space="preserve">Date: ______________________</w:t>
      </w:r>
    </w:p>
    <w:p>
      <w:pPr>
        <w:pStyle w:val="BodyText"/>
      </w:pPr>
      <w:r>
        <w:rPr>
          <w:bCs/>
          <w:b/>
        </w:rPr>
        <w:t xml:space="preserve">Project Manager</w:t>
      </w:r>
      <w:r>
        <w:br/>
      </w:r>
      <w:r>
        <w:t xml:space="preserve">Name: ______________________</w:t>
      </w:r>
      <w:r>
        <w:br/>
      </w:r>
      <w:r>
        <w:t xml:space="preserve">Date: ______________________</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Enhanced Oil Recovery in Moscow Basin</dc:title>
  <dc:creator/>
  <dc:language>en</dc:language>
  <cp:keywords/>
  <dcterms:created xsi:type="dcterms:W3CDTF">2026-10-10T06:20:16Z</dcterms:created>
  <dcterms:modified xsi:type="dcterms:W3CDTF">2026-10-10T06:20:16Z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