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Riyadh</w:t>
      </w:r>
      <w:r>
        <w:t xml:space="preserve"> </w:t>
      </w:r>
      <w:r>
        <w:t xml:space="preserve">Basin</w:t>
      </w:r>
    </w:p>
    <w:bookmarkStart w:id="20" w:name="X390698f6f6822a86167c0b8d6a540f36c044d6e"/>
    <w:p>
      <w:pPr>
        <w:pStyle w:val="Heading1"/>
      </w:pPr>
      <w:r>
        <w:t xml:space="preserve">Experiment Protocol: Enhanced Oil Recovery (EOR) Pilot Study</w:t>
      </w:r>
    </w:p>
    <w:p>
      <w:pPr>
        <w:pStyle w:val="FirstParagraph"/>
      </w:pPr>
      <w:r>
        <w:rPr>
          <w:bCs/>
          <w:b/>
        </w:rPr>
        <w:t xml:space="preserve">Location:</w:t>
      </w:r>
      <w:r>
        <w:t xml:space="preserve"> </w:t>
      </w:r>
      <w:r>
        <w:t xml:space="preserve">Riyadh Basin, Saudi Arabia</w:t>
      </w:r>
    </w:p>
    <w:p>
      <w:pPr>
        <w:pStyle w:val="BodyText"/>
      </w:pPr>
      <w:r>
        <w:rPr>
          <w:bCs/>
          <w:b/>
        </w:rPr>
        <w:t xml:space="preserve">Prepared By:</w:t>
      </w:r>
      <w:r>
        <w:t xml:space="preserve"> </w:t>
      </w:r>
      <w:r>
        <w:t xml:space="preserve">Senior Petroleum Engineer Team</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SA-RIY-EOR-2023-001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controlled pilot study aimed at evaluating the efficacy of polymer flooding as an Enhanced Oil Recovery (EOR) technique within the mature reservoirs of the Riyadh Basin. As a Petroleum Engineer operating in Saudi Arabia, the primary objective is to optimize hydrocarbon extraction while adhering to the stringent environmental and operational standards set by the Saudi Arabian Ministry of Energy and the Saudi Aramco guidelines.</w:t>
      </w:r>
    </w:p>
    <w:p>
      <w:pPr>
        <w:pStyle w:val="BodyText"/>
      </w:pPr>
      <w:r>
        <w:t xml:space="preserve">The specific goal of this experiment is to determine the optimal polymer concentration and injection rate to improve sweep efficiency in the Ghawar formation's peripheral sectors near Riyadh. This protocol ensures that all experimental phases are conducted with scientific rigor, safety, and regulatory compliance.</w:t>
      </w:r>
    </w:p>
    <w:bookmarkEnd w:id="21"/>
    <w:bookmarkStart w:id="22" w:name="scope-and-regulatory-compliance"/>
    <w:p>
      <w:pPr>
        <w:pStyle w:val="Heading2"/>
      </w:pPr>
      <w:r>
        <w:t xml:space="preserve">2. Scope and Regulatory Compliance</w:t>
      </w:r>
    </w:p>
    <w:p>
      <w:pPr>
        <w:pStyle w:val="FirstParagraph"/>
      </w:pPr>
      <w:r>
        <w:t xml:space="preserve">This protocol applies to all personnel involved in the field operations, laboratory analysis, and data monitoring phases of the project. The experiment must strictly comply with:</w:t>
      </w:r>
    </w:p>
    <w:p>
      <w:pPr>
        <w:numPr>
          <w:ilvl w:val="0"/>
          <w:numId w:val="1001"/>
        </w:numPr>
        <w:pStyle w:val="Compact"/>
      </w:pPr>
      <w:r>
        <w:t xml:space="preserve">Saudi Aramco Engineering Standards (SAES).</w:t>
      </w:r>
    </w:p>
    <w:p>
      <w:pPr>
        <w:numPr>
          <w:ilvl w:val="0"/>
          <w:numId w:val="1001"/>
        </w:numPr>
        <w:pStyle w:val="Compact"/>
      </w:pPr>
      <w:r>
        <w:t xml:space="preserve">Saudi Environmental, Health, and Safety (EHS) regulations.</w:t>
      </w:r>
    </w:p>
    <w:p>
      <w:pPr>
        <w:numPr>
          <w:ilvl w:val="0"/>
          <w:numId w:val="1001"/>
        </w:numPr>
        <w:pStyle w:val="Compact"/>
      </w:pPr>
      <w:r>
        <w:t xml:space="preserve">International Association of Oil &amp; Gas Producers (IOGP) guidelines.</w:t>
      </w:r>
    </w:p>
    <w:p>
      <w:pPr>
        <w:pStyle w:val="FirstParagraph"/>
      </w:pPr>
      <w:r>
        <w:t xml:space="preserve">Given the location in Saudi Arabia Riyadh, special attention is paid to water conservation and the management of produced water, aligning with the Kingdom's Vision 2030 sustainability goals.</w:t>
      </w:r>
    </w:p>
    <w:bookmarkEnd w:id="22"/>
    <w:bookmarkStart w:id="25" w:name="experimental-design"/>
    <w:p>
      <w:pPr>
        <w:pStyle w:val="Heading2"/>
      </w:pPr>
      <w:r>
        <w:t xml:space="preserve">3. Experimental Design</w:t>
      </w:r>
    </w:p>
    <w:bookmarkStart w:id="23" w:name="site-selection"/>
    <w:p>
      <w:pPr>
        <w:pStyle w:val="Heading3"/>
      </w:pPr>
      <w:r>
        <w:t xml:space="preserve">3.1. Site Selection</w:t>
      </w:r>
    </w:p>
    <w:p>
      <w:pPr>
        <w:pStyle w:val="FirstParagraph"/>
      </w:pPr>
      <w:r>
        <w:t xml:space="preserve">The pilot site is located in a designated sector of the Riyadh Basin, characterized by high permeability sandstone reservoirs. The area has been selected due to its mature production profile and favorable geological conditions for polymer flooding.</w:t>
      </w:r>
    </w:p>
    <w:bookmarkEnd w:id="23"/>
    <w:bookmarkStart w:id="24" w:name="variables"/>
    <w:p>
      <w:pPr>
        <w:pStyle w:val="Heading3"/>
      </w:pPr>
      <w:r>
        <w:t xml:space="preserve">3.2.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Parameter</w:t>
            </w:r>
          </w:p>
        </w:tc>
        <w:tc>
          <w:tcPr/>
          <w:p>
            <w:pPr>
              <w:pStyle w:val="Compact"/>
              <w:jc w:val="left"/>
            </w:pPr>
            <w:r>
              <w:t xml:space="preserve">Range/Value</w:t>
            </w:r>
          </w:p>
        </w:tc>
      </w:tr>
      <w:tr>
        <w:tc>
          <w:tcPr/>
          <w:p>
            <w:pPr>
              <w:pStyle w:val="Compact"/>
              <w:jc w:val="left"/>
            </w:pPr>
            <w:r>
              <w:t xml:space="preserve">Independent</w:t>
            </w:r>
          </w:p>
        </w:tc>
        <w:tc>
          <w:tcPr/>
          <w:p>
            <w:pPr>
              <w:pStyle w:val="Compact"/>
              <w:jc w:val="left"/>
            </w:pPr>
            <w:r>
              <w:t xml:space="preserve">Polymer Concentration</w:t>
            </w:r>
          </w:p>
        </w:tc>
        <w:tc>
          <w:tcPr/>
          <w:p>
            <w:pPr>
              <w:pStyle w:val="Compact"/>
              <w:jc w:val="left"/>
            </w:pPr>
            <w:r>
              <w:t xml:space="preserve">500 ppm to 1500 ppm</w:t>
            </w:r>
          </w:p>
        </w:tc>
      </w:tr>
      <w:tr>
        <w:tc>
          <w:tcPr/>
          <w:p>
            <w:pPr>
              <w:pStyle w:val="Compact"/>
              <w:jc w:val="left"/>
            </w:pPr>
            <w:r>
              <w:t xml:space="preserve">Independent</w:t>
            </w:r>
          </w:p>
        </w:tc>
        <w:tc>
          <w:tcPr/>
          <w:p>
            <w:pPr>
              <w:pStyle w:val="Compact"/>
              <w:jc w:val="left"/>
            </w:pPr>
            <w:r>
              <w:t xml:space="preserve">Injection Rate</w:t>
            </w:r>
          </w:p>
        </w:tc>
        <w:tc>
          <w:tcPr/>
          <w:p>
            <w:pPr>
              <w:pStyle w:val="Compact"/>
              <w:jc w:val="left"/>
            </w:pPr>
            <w:r>
              <w:t xml:space="preserve">500 bbl/day to 1000 bbl/day</w:t>
            </w:r>
          </w:p>
        </w:tc>
      </w:tr>
      <w:tr>
        <w:tc>
          <w:tcPr/>
          <w:p>
            <w:pPr>
              <w:pStyle w:val="Compact"/>
              <w:jc w:val="left"/>
            </w:pPr>
            <w:r>
              <w:t xml:space="preserve">Dependent</w:t>
            </w:r>
          </w:p>
        </w:tc>
        <w:tc>
          <w:tcPr/>
          <w:p>
            <w:pPr>
              <w:pStyle w:val="Compact"/>
              <w:jc w:val="left"/>
            </w:pPr>
            <w:r>
              <w:t xml:space="preserve">Oil Recovery Factor</w:t>
            </w:r>
          </w:p>
        </w:tc>
        <w:tc>
          <w:tcPr/>
          <w:p>
            <w:pPr>
              <w:pStyle w:val="Compact"/>
              <w:jc w:val="left"/>
            </w:pPr>
            <w:r>
              <w:t xml:space="preserve">Measured in % increase</w:t>
            </w:r>
          </w:p>
        </w:tc>
      </w:tr>
      <w:tr>
        <w:tc>
          <w:tcPr/>
          <w:p>
            <w:pPr>
              <w:pStyle w:val="Compact"/>
              <w:jc w:val="left"/>
            </w:pPr>
            <w:r>
              <w:t xml:space="preserve">Dependent</w:t>
            </w:r>
          </w:p>
        </w:tc>
        <w:tc>
          <w:tcPr/>
          <w:p>
            <w:pPr>
              <w:pStyle w:val="Compact"/>
              <w:jc w:val="left"/>
            </w:pPr>
            <w:r>
              <w:t xml:space="preserve">Water Cut</w:t>
            </w:r>
          </w:p>
        </w:tc>
        <w:tc>
          <w:tcPr/>
          <w:p>
            <w:pPr>
              <w:pStyle w:val="Compact"/>
              <w:jc w:val="left"/>
            </w:pPr>
            <w:r>
              <w:t xml:space="preserve">Measured in %</w:t>
            </w:r>
          </w:p>
        </w:tc>
      </w:tr>
    </w:tbl>
    <w:bookmarkEnd w:id="24"/>
    <w:bookmarkEnd w:id="25"/>
    <w:bookmarkStart w:id="29" w:name="methodology"/>
    <w:p>
      <w:pPr>
        <w:pStyle w:val="Heading2"/>
      </w:pPr>
      <w:r>
        <w:t xml:space="preserve">4. Methodology</w:t>
      </w:r>
    </w:p>
    <w:bookmarkStart w:id="26" w:name="pre-experiment-phase"/>
    <w:p>
      <w:pPr>
        <w:pStyle w:val="Heading3"/>
      </w:pPr>
      <w:r>
        <w:t xml:space="preserve">4.1. Pre-Experiment Phase</w:t>
      </w:r>
    </w:p>
    <w:p>
      <w:pPr>
        <w:pStyle w:val="FirstParagraph"/>
      </w:pPr>
      <w:r>
        <w:t xml:space="preserve">Before initiating the polymer injection, a comprehensive baseline study will be conducted. This includes:</w:t>
      </w:r>
    </w:p>
    <w:p>
      <w:pPr>
        <w:numPr>
          <w:ilvl w:val="0"/>
          <w:numId w:val="1002"/>
        </w:numPr>
        <w:pStyle w:val="Compact"/>
      </w:pPr>
      <w:r>
        <w:t xml:space="preserve">Reservoir pressure monitoring.</w:t>
      </w:r>
    </w:p>
    <w:p>
      <w:pPr>
        <w:numPr>
          <w:ilvl w:val="0"/>
          <w:numId w:val="1002"/>
        </w:numPr>
        <w:pStyle w:val="Compact"/>
      </w:pPr>
      <w:r>
        <w:t xml:space="preserve">Fluid sampling for viscosity and salinity analysis.</w:t>
      </w:r>
    </w:p>
    <w:p>
      <w:pPr>
        <w:numPr>
          <w:ilvl w:val="0"/>
          <w:numId w:val="1002"/>
        </w:numPr>
        <w:pStyle w:val="Compact"/>
      </w:pPr>
      <w:r>
        <w:t xml:space="preserve">Well integrity testing to ensure no leakage pathways exist.</w:t>
      </w:r>
    </w:p>
    <w:bookmarkEnd w:id="26"/>
    <w:bookmarkStart w:id="27" w:name="polymer-preparation-and-injection"/>
    <w:p>
      <w:pPr>
        <w:pStyle w:val="Heading3"/>
      </w:pPr>
      <w:r>
        <w:t xml:space="preserve">4.2. Polymer Preparation and Injection</w:t>
      </w:r>
    </w:p>
    <w:p>
      <w:pPr>
        <w:pStyle w:val="FirstParagraph"/>
      </w:pPr>
      <w:r>
        <w:t xml:space="preserve">The polymer solution will be prepared on-site using treated produced water to minimize freshwater usage, a critical consideration in the arid climate of Saudi Arabia Riyadh. The injection process will be carried out in three stages, each lasting three months, with increasing polymer concentrations.</w:t>
      </w:r>
    </w:p>
    <w:bookmarkEnd w:id="27"/>
    <w:bookmarkStart w:id="28" w:name="monitoring-and-data-collection"/>
    <w:p>
      <w:pPr>
        <w:pStyle w:val="Heading3"/>
      </w:pPr>
      <w:r>
        <w:t xml:space="preserve">4.3. Monitoring and Data Collection</w:t>
      </w:r>
    </w:p>
    <w:p>
      <w:pPr>
        <w:pStyle w:val="FirstParagraph"/>
      </w:pPr>
      <w:r>
        <w:t xml:space="preserve">Continuous monitoring will be performed using downhole sensors and surface production data. Key metrics include:</w:t>
      </w:r>
    </w:p>
    <w:p>
      <w:pPr>
        <w:numPr>
          <w:ilvl w:val="0"/>
          <w:numId w:val="1003"/>
        </w:numPr>
        <w:pStyle w:val="Compact"/>
      </w:pPr>
      <w:r>
        <w:t xml:space="preserve">Daily oil and water production rates.</w:t>
      </w:r>
    </w:p>
    <w:p>
      <w:pPr>
        <w:numPr>
          <w:ilvl w:val="0"/>
          <w:numId w:val="1003"/>
        </w:numPr>
        <w:pStyle w:val="Compact"/>
      </w:pPr>
      <w:r>
        <w:t xml:space="preserve">Reservoir pressure changes.</w:t>
      </w:r>
    </w:p>
    <w:p>
      <w:pPr>
        <w:numPr>
          <w:ilvl w:val="0"/>
          <w:numId w:val="1003"/>
        </w:numPr>
        <w:pStyle w:val="Compact"/>
      </w:pPr>
      <w:r>
        <w:t xml:space="preserve">Polymer breakthrough time in production wells.</w:t>
      </w:r>
    </w:p>
    <w:bookmarkEnd w:id="28"/>
    <w:bookmarkEnd w:id="29"/>
    <w:bookmarkStart w:id="30" w:name="safety-and-environmental-considerations"/>
    <w:p>
      <w:pPr>
        <w:pStyle w:val="Heading2"/>
      </w:pPr>
      <w:r>
        <w:t xml:space="preserve">5. Safety and Environmental Considerations</w:t>
      </w:r>
    </w:p>
    <w:p>
      <w:pPr>
        <w:pStyle w:val="FirstParagraph"/>
      </w:pPr>
      <w:r>
        <w:rPr>
          <w:bCs/>
          <w:b/>
        </w:rPr>
        <w:t xml:space="preserve">Warning:</w:t>
      </w:r>
      <w:r>
        <w:t xml:space="preserve"> </w:t>
      </w:r>
      <w:r>
        <w:t xml:space="preserve">All personnel must wear appropriate Personal Protective Equipment (PPE) and undergo safety training specific to chemical handling and high-pressure operations.</w:t>
      </w:r>
    </w:p>
    <w:p>
      <w:pPr>
        <w:pStyle w:val="BodyText"/>
      </w:pPr>
      <w:r>
        <w:t xml:space="preserve">Given the environmental sensitivity of the Riyadh region, the following measures are mandatory:</w:t>
      </w:r>
    </w:p>
    <w:p>
      <w:pPr>
        <w:numPr>
          <w:ilvl w:val="0"/>
          <w:numId w:val="1004"/>
        </w:numPr>
        <w:pStyle w:val="Compact"/>
      </w:pPr>
      <w:r>
        <w:t xml:space="preserve">Spill containment plans must be in place at all injection sites.</w:t>
      </w:r>
    </w:p>
    <w:p>
      <w:pPr>
        <w:numPr>
          <w:ilvl w:val="0"/>
          <w:numId w:val="1004"/>
        </w:numPr>
        <w:pStyle w:val="Compact"/>
      </w:pPr>
      <w:r>
        <w:t xml:space="preserve">Waste polymer solutions must be treated and disposed of according to Saudi environmental regulations.</w:t>
      </w:r>
    </w:p>
    <w:p>
      <w:pPr>
        <w:numPr>
          <w:ilvl w:val="0"/>
          <w:numId w:val="1004"/>
        </w:numPr>
        <w:pStyle w:val="Compact"/>
      </w:pPr>
      <w:r>
        <w:t xml:space="preserve">Regular air quality monitoring to ensure no harmful emissions are released.</w:t>
      </w:r>
    </w:p>
    <w:bookmarkEnd w:id="30"/>
    <w:bookmarkStart w:id="31" w:name="data-analysis-and-reporting"/>
    <w:p>
      <w:pPr>
        <w:pStyle w:val="Heading2"/>
      </w:pPr>
      <w:r>
        <w:t xml:space="preserve">6. Data Analysis and Reporting</w:t>
      </w:r>
    </w:p>
    <w:p>
      <w:pPr>
        <w:pStyle w:val="FirstParagraph"/>
      </w:pPr>
      <w:r>
        <w:t xml:space="preserve">Upon completion of the 12-month pilot study, all collected data will be analyzed to assess the effectiveness of the polymer flooding technique. The analysis will include:</w:t>
      </w:r>
    </w:p>
    <w:p>
      <w:pPr>
        <w:numPr>
          <w:ilvl w:val="0"/>
          <w:numId w:val="1005"/>
        </w:numPr>
        <w:pStyle w:val="Compact"/>
      </w:pPr>
      <w:r>
        <w:t xml:space="preserve">Comparison of oil recovery rates before and after polymer injection.</w:t>
      </w:r>
    </w:p>
    <w:p>
      <w:pPr>
        <w:numPr>
          <w:ilvl w:val="0"/>
          <w:numId w:val="1005"/>
        </w:numPr>
        <w:pStyle w:val="Compact"/>
      </w:pPr>
      <w:r>
        <w:t xml:space="preserve">Economic evaluation of the EOR method, considering costs and additional oil produced.</w:t>
      </w:r>
    </w:p>
    <w:p>
      <w:pPr>
        <w:numPr>
          <w:ilvl w:val="0"/>
          <w:numId w:val="1005"/>
        </w:numPr>
        <w:pStyle w:val="Compact"/>
      </w:pPr>
      <w:r>
        <w:t xml:space="preserve">Environmental impact assessment.</w:t>
      </w:r>
    </w:p>
    <w:p>
      <w:pPr>
        <w:pStyle w:val="FirstParagraph"/>
      </w:pPr>
      <w:r>
        <w:t xml:space="preserve">A final report will be submitted to the relevant authorities in Saudi Arabia, detailing the findings and recommendations for potential full-scale implementation.</w:t>
      </w:r>
    </w:p>
    <w:bookmarkEnd w:id="31"/>
    <w:bookmarkStart w:id="32" w:name="conclusion"/>
    <w:p>
      <w:pPr>
        <w:pStyle w:val="Heading2"/>
      </w:pPr>
      <w:r>
        <w:t xml:space="preserve">7. Conclusion</w:t>
      </w:r>
    </w:p>
    <w:p>
      <w:pPr>
        <w:pStyle w:val="FirstParagraph"/>
      </w:pPr>
      <w:r>
        <w:t xml:space="preserve">This Experiment Protocol provides a structured approach for conducting an Enhanced Oil Recovery pilot study in the Riyadh Basin. By adhering to these guidelines, the Petroleum Engineer team aims to enhance oil production sustainably and efficiently, contributing to the energy security and economic growth of Saudi Arabia.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Riyadh Basin</dc:title>
  <dc:creator/>
  <dc:language>en</dc:language>
  <cp:keywords/>
  <dcterms:created xsi:type="dcterms:W3CDTF">2026-10-10T01:11:37Z</dcterms:created>
  <dcterms:modified xsi:type="dcterms:W3CDTF">2026-10-10T01:11:37Z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