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Simulation</w:t>
      </w:r>
    </w:p>
    <w:bookmarkStart w:id="20" w:name="Xefc23a61d0b05ac0e5a79870131e6dac05f9c39"/>
    <w:p>
      <w:pPr>
        <w:pStyle w:val="Heading1"/>
      </w:pPr>
      <w:r>
        <w:t xml:space="preserve">Experiment Protocol: Enhanced Oil Recovery (EOR) Simulation</w:t>
      </w:r>
    </w:p>
    <w:p>
      <w:pPr>
        <w:pStyle w:val="FirstParagraph"/>
      </w:pPr>
      <w:r>
        <w:rPr>
          <w:bCs/>
          <w:b/>
        </w:rPr>
        <w:t xml:space="preserve">Document ID:</w:t>
      </w:r>
      <w:r>
        <w:t xml:space="preserve"> </w:t>
      </w:r>
      <w:r>
        <w:t xml:space="preserve">PE-SG-2023-045</w:t>
      </w:r>
    </w:p>
    <w:p>
      <w:pPr>
        <w:pStyle w:val="BodyText"/>
      </w:pPr>
      <w:r>
        <w:rPr>
          <w:bCs/>
          <w:b/>
        </w:rPr>
        <w:t xml:space="preserve">Location:</w:t>
      </w:r>
      <w:r>
        <w:t xml:space="preserve"> </w:t>
      </w:r>
      <w:r>
        <w:t xml:space="preserve">Singapore Singapore</w:t>
      </w:r>
    </w:p>
    <w:p>
      <w:pPr>
        <w:pStyle w:val="BodyText"/>
      </w:pPr>
      <w:r>
        <w:rPr>
          <w:bCs/>
          <w:b/>
        </w:rPr>
        <w:t xml:space="preserve">Role:</w:t>
      </w:r>
      <w:r>
        <w:t xml:space="preserve"> </w:t>
      </w:r>
      <w:r>
        <w:t xml:space="preserve">Petroleum Engineer</w:t>
      </w:r>
    </w:p>
    <w:p>
      <w:pPr>
        <w:pStyle w:val="BodyText"/>
      </w:pPr>
      <w:r>
        <w:rPr>
          <w:bCs/>
          <w:b/>
        </w:rPr>
        <w:t xml:space="preserve">Date:</w:t>
      </w:r>
      <w:r>
        <w:t xml:space="preserve"> </w:t>
      </w:r>
      <w:r>
        <w:t xml:space="preserve">October 24, 2023</w:t>
      </w:r>
    </w:p>
    <w:bookmarkEnd w:id="20"/>
    <w:bookmarkStart w:id="21" w:name="objective"/>
    <w:p>
      <w:pPr>
        <w:pStyle w:val="Heading2"/>
      </w:pPr>
      <w:r>
        <w:t xml:space="preserve">1. Objective</w:t>
      </w:r>
    </w:p>
    <w:p>
      <w:pPr>
        <w:pStyle w:val="FirstParagraph"/>
      </w:pPr>
      <w:r>
        <w:t xml:space="preserve">This Experiment Protocol outlines the standardized procedures for conducting laboratory-scale Enhanced Oil Recovery (EOR) simulations. The primary objective is to evaluate the efficiency of surfactant-polymer flooding techniques on heavy crude oil reservoirs. This protocol is designed specifically for the Petroleum Engineer operating within the regulatory and environmental frameworks of Singapore Singapore. The study aims to optimize recovery factors while minimizing environmental impact, aligning with the stringent sustainability goals of the Singaporean energy sector.</w:t>
      </w:r>
    </w:p>
    <w:bookmarkEnd w:id="21"/>
    <w:bookmarkStart w:id="22" w:name="scope-and-applicability"/>
    <w:p>
      <w:pPr>
        <w:pStyle w:val="Heading2"/>
      </w:pPr>
      <w:r>
        <w:t xml:space="preserve">2. Scope and Applicability</w:t>
      </w:r>
    </w:p>
    <w:p>
      <w:pPr>
        <w:pStyle w:val="FirstParagraph"/>
      </w:pPr>
      <w:r>
        <w:t xml:space="preserve">This protocol applies to all experimental activities conducted in the reservoir engineering laboratories located in Singapore Singapore. It is mandatory for any Petroleum Engineer involved in the characterization of hydrocarbon fluids and the testing of EOR agents. The procedures detailed herein ensure compliance with local safety standards, including those set by the Workplace Safety and Health Council (WSHC) and the National Environment Agency (NEA) of Singapore Singapore.</w:t>
      </w:r>
    </w:p>
    <w:bookmarkEnd w:id="22"/>
    <w:bookmarkStart w:id="23" w:name="safety-and-environmental-compliance"/>
    <w:p>
      <w:pPr>
        <w:pStyle w:val="Heading2"/>
      </w:pPr>
      <w:r>
        <w:t xml:space="preserve">3. Safety and Environmental Compliance</w:t>
      </w:r>
    </w:p>
    <w:p>
      <w:pPr>
        <w:pStyle w:val="FirstParagraph"/>
      </w:pPr>
      <w:r>
        <w:t xml:space="preserve">Safety is paramount in all petroleum engineering experiments. The Petroleum Engineer must adhere to the following safety measures specific to the Singapore Singapore context:</w:t>
      </w:r>
    </w:p>
    <w:p>
      <w:pPr>
        <w:numPr>
          <w:ilvl w:val="0"/>
          <w:numId w:val="1001"/>
        </w:numPr>
        <w:pStyle w:val="Compact"/>
      </w:pPr>
      <w:r>
        <w:rPr>
          <w:bCs/>
          <w:b/>
        </w:rPr>
        <w:t xml:space="preserve">Personal Protective Equipment (PPE):</w:t>
      </w:r>
      <w:r>
        <w:t xml:space="preserve"> </w:t>
      </w:r>
      <w:r>
        <w:t xml:space="preserve">Lab coats, safety goggles, nitrile gloves, and closed-toe shoes are mandatory.</w:t>
      </w:r>
    </w:p>
    <w:p>
      <w:pPr>
        <w:numPr>
          <w:ilvl w:val="0"/>
          <w:numId w:val="1001"/>
        </w:numPr>
        <w:pStyle w:val="Compact"/>
      </w:pPr>
      <w:r>
        <w:rPr>
          <w:bCs/>
          <w:b/>
        </w:rPr>
        <w:t xml:space="preserve">Chemical Handling:</w:t>
      </w:r>
      <w:r>
        <w:t xml:space="preserve"> </w:t>
      </w:r>
      <w:r>
        <w:t xml:space="preserve">All chemicals must be stored in designated cabinets compliant with Singapore Singapore fire safety regulations.</w:t>
      </w:r>
    </w:p>
    <w:p>
      <w:pPr>
        <w:numPr>
          <w:ilvl w:val="0"/>
          <w:numId w:val="1001"/>
        </w:numPr>
        <w:pStyle w:val="Compact"/>
      </w:pPr>
      <w:r>
        <w:rPr>
          <w:bCs/>
          <w:b/>
        </w:rPr>
        <w:t xml:space="preserve">Waste Disposal:</w:t>
      </w:r>
      <w:r>
        <w:t xml:space="preserve"> </w:t>
      </w:r>
      <w:r>
        <w:t xml:space="preserve">Oil-based waste and chemical effluents must be segregated and disposed of according to NEA guidelines. No hazardous materials are to be discharged into the municipal sewer system.</w:t>
      </w:r>
    </w:p>
    <w:p>
      <w:pPr>
        <w:numPr>
          <w:ilvl w:val="0"/>
          <w:numId w:val="1001"/>
        </w:numPr>
        <w:pStyle w:val="Compact"/>
      </w:pPr>
      <w:r>
        <w:rPr>
          <w:bCs/>
          <w:b/>
        </w:rPr>
        <w:t xml:space="preserve">Ventilation:</w:t>
      </w:r>
      <w:r>
        <w:t xml:space="preserve"> </w:t>
      </w:r>
      <w:r>
        <w:t xml:space="preserve">All experiments involving volatile organic compounds (VOCs) must be conducted in fume hoods with adequate airflow.</w:t>
      </w:r>
    </w:p>
    <w:p>
      <w:pPr>
        <w:pStyle w:val="FirstParagraph"/>
      </w:pPr>
      <w:r>
        <w:rPr>
          <w:bCs/>
          <w:b/>
        </w:rPr>
        <w:t xml:space="preserve">Warning:</w:t>
      </w:r>
      <w:r>
        <w:t xml:space="preserve"> </w:t>
      </w:r>
      <w:r>
        <w:t xml:space="preserve">Failure to comply with safety protocols may result in immediate suspension of the experiment and disciplinary action.</w:t>
      </w:r>
    </w:p>
    <w:bookmarkEnd w:id="23"/>
    <w:bookmarkStart w:id="24" w:name="materials-and-equipment"/>
    <w:p>
      <w:pPr>
        <w:pStyle w:val="Heading2"/>
      </w:pPr>
      <w:r>
        <w:t xml:space="preserve">4. Materials and Equipment</w:t>
      </w:r>
    </w:p>
    <w:p>
      <w:pPr>
        <w:pStyle w:val="FirstParagraph"/>
      </w:pPr>
      <w:r>
        <w:t xml:space="preserve">The following materials and equipment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Core Flooding Apparatus</w:t>
            </w:r>
          </w:p>
        </w:tc>
        <w:tc>
          <w:tcPr/>
          <w:p>
            <w:pPr>
              <w:pStyle w:val="Compact"/>
              <w:jc w:val="left"/>
            </w:pPr>
            <w:r>
              <w:t xml:space="preserve">High-pressure, high-temperature capable</w:t>
            </w:r>
          </w:p>
        </w:tc>
        <w:tc>
          <w:tcPr/>
          <w:p>
            <w:pPr>
              <w:pStyle w:val="Compact"/>
              <w:jc w:val="left"/>
            </w:pPr>
            <w:r>
              <w:t xml:space="preserve">1</w:t>
            </w:r>
          </w:p>
        </w:tc>
      </w:tr>
      <w:tr>
        <w:tc>
          <w:tcPr/>
          <w:p>
            <w:pPr>
              <w:pStyle w:val="Compact"/>
              <w:jc w:val="left"/>
            </w:pPr>
            <w:r>
              <w:t xml:space="preserve">Core Samples</w:t>
            </w:r>
          </w:p>
        </w:tc>
        <w:tc>
          <w:tcPr/>
          <w:p>
            <w:pPr>
              <w:pStyle w:val="Compact"/>
              <w:jc w:val="left"/>
            </w:pPr>
            <w:r>
              <w:t xml:space="preserve">Sandstone, 2.5 cm diameter, 5 cm length</w:t>
            </w:r>
          </w:p>
        </w:tc>
        <w:tc>
          <w:tcPr/>
          <w:p>
            <w:pPr>
              <w:pStyle w:val="Compact"/>
              <w:jc w:val="left"/>
            </w:pPr>
            <w:r>
              <w:t xml:space="preserve">3</w:t>
            </w:r>
          </w:p>
        </w:tc>
      </w:tr>
      <w:tr>
        <w:tc>
          <w:tcPr/>
          <w:p>
            <w:pPr>
              <w:pStyle w:val="Compact"/>
              <w:jc w:val="left"/>
            </w:pPr>
            <w:r>
              <w:t xml:space="preserve">Crude Oil</w:t>
            </w:r>
          </w:p>
        </w:tc>
        <w:tc>
          <w:tcPr/>
          <w:p>
            <w:pPr>
              <w:pStyle w:val="Compact"/>
              <w:jc w:val="left"/>
            </w:pPr>
            <w:r>
              <w:t xml:space="preserve">Heavy crude, viscosity &gt; 500 cP</w:t>
            </w:r>
          </w:p>
        </w:tc>
        <w:tc>
          <w:tcPr/>
          <w:p>
            <w:pPr>
              <w:pStyle w:val="Compact"/>
              <w:jc w:val="left"/>
            </w:pPr>
            <w:r>
              <w:t xml:space="preserve">500 mL</w:t>
            </w:r>
          </w:p>
        </w:tc>
      </w:tr>
      <w:tr>
        <w:tc>
          <w:tcPr/>
          <w:p>
            <w:pPr>
              <w:pStyle w:val="Compact"/>
              <w:jc w:val="left"/>
            </w:pPr>
            <w:r>
              <w:t xml:space="preserve">Brine Solution</w:t>
            </w:r>
          </w:p>
        </w:tc>
        <w:tc>
          <w:tcPr/>
          <w:p>
            <w:pPr>
              <w:pStyle w:val="Compact"/>
              <w:jc w:val="left"/>
            </w:pPr>
            <w:r>
              <w:t xml:space="preserve">Salinity matching reservoir conditions</w:t>
            </w:r>
          </w:p>
        </w:tc>
        <w:tc>
          <w:tcPr/>
          <w:p>
            <w:pPr>
              <w:pStyle w:val="Compact"/>
              <w:jc w:val="left"/>
            </w:pPr>
            <w:r>
              <w:t xml:space="preserve">1 L</w:t>
            </w:r>
          </w:p>
        </w:tc>
      </w:tr>
      <w:tr>
        <w:tc>
          <w:tcPr/>
          <w:p>
            <w:pPr>
              <w:pStyle w:val="Compact"/>
              <w:jc w:val="left"/>
            </w:pPr>
            <w:r>
              <w:t xml:space="preserve">Surfactant-Polymer Solution</w:t>
            </w:r>
          </w:p>
        </w:tc>
        <w:tc>
          <w:tcPr/>
          <w:p>
            <w:pPr>
              <w:pStyle w:val="Compact"/>
              <w:jc w:val="left"/>
            </w:pPr>
            <w:r>
              <w:t xml:space="preserve">Custom formulation</w:t>
            </w:r>
          </w:p>
        </w:tc>
        <w:tc>
          <w:tcPr/>
          <w:p>
            <w:pPr>
              <w:pStyle w:val="Compact"/>
              <w:jc w:val="left"/>
            </w:pPr>
            <w:r>
              <w:t xml:space="preserve">500 mL</w:t>
            </w:r>
          </w:p>
        </w:tc>
      </w:tr>
      <w:tr>
        <w:tc>
          <w:tcPr/>
          <w:p>
            <w:pPr>
              <w:pStyle w:val="Compact"/>
              <w:jc w:val="left"/>
            </w:pPr>
            <w:r>
              <w:t xml:space="preserve">Pressure Transducers</w:t>
            </w:r>
          </w:p>
        </w:tc>
        <w:tc>
          <w:tcPr/>
          <w:p>
            <w:pPr>
              <w:pStyle w:val="Compact"/>
              <w:jc w:val="left"/>
            </w:pPr>
            <w:r>
              <w:t xml:space="preserve">Accuracy ±0.1% FS</w:t>
            </w:r>
          </w:p>
        </w:tc>
        <w:tc>
          <w:tcPr/>
          <w:p>
            <w:pPr>
              <w:pStyle w:val="Compact"/>
              <w:jc w:val="left"/>
            </w:pPr>
            <w:r>
              <w:t xml:space="preserve">2</w:t>
            </w:r>
          </w:p>
        </w:tc>
      </w:tr>
      <w:tr>
        <w:tc>
          <w:tcPr/>
          <w:p>
            <w:pPr>
              <w:pStyle w:val="Compact"/>
              <w:jc w:val="left"/>
            </w:pPr>
            <w:r>
              <w:t xml:space="preserve">Data Acquisition System</w:t>
            </w:r>
          </w:p>
        </w:tc>
        <w:tc>
          <w:tcPr/>
          <w:p>
            <w:pPr>
              <w:pStyle w:val="Compact"/>
              <w:jc w:val="left"/>
            </w:pPr>
            <w:r>
              <w:t xml:space="preserve">Real-time monitoring</w:t>
            </w:r>
          </w:p>
        </w:tc>
        <w:tc>
          <w:tcPr/>
          <w:p>
            <w:pPr>
              <w:pStyle w:val="Compact"/>
              <w:jc w:val="left"/>
            </w:pPr>
            <w:r>
              <w:t xml:space="preserve">1</w:t>
            </w:r>
          </w:p>
        </w:tc>
      </w:tr>
    </w:tbl>
    <w:bookmarkEnd w:id="24"/>
    <w:bookmarkStart w:id="25" w:name="experimental-procedure"/>
    <w:p>
      <w:pPr>
        <w:pStyle w:val="Heading2"/>
      </w:pPr>
      <w:r>
        <w:t xml:space="preserve">5. Experimental Procedure</w:t>
      </w:r>
    </w:p>
    <w:p>
      <w:pPr>
        <w:pStyle w:val="FirstParagraph"/>
      </w:pPr>
      <w:r>
        <w:t xml:space="preserve">The Petroleum Engineer must follow these steps meticulously:</w:t>
      </w:r>
    </w:p>
    <w:p>
      <w:pPr>
        <w:numPr>
          <w:ilvl w:val="0"/>
          <w:numId w:val="1002"/>
        </w:numPr>
        <w:pStyle w:val="Compact"/>
      </w:pPr>
      <w:r>
        <w:rPr>
          <w:bCs/>
          <w:b/>
        </w:rPr>
        <w:t xml:space="preserve">Core Preparation:</w:t>
      </w:r>
      <w:r>
        <w:t xml:space="preserve"> </w:t>
      </w:r>
      <w:r>
        <w:t xml:space="preserve">Clean the core samples using toluene and methanol to remove any contaminants. Dry the cores in an oven at 60°C for 24 hours.</w:t>
      </w:r>
    </w:p>
    <w:p>
      <w:pPr>
        <w:numPr>
          <w:ilvl w:val="0"/>
          <w:numId w:val="1002"/>
        </w:numPr>
        <w:pStyle w:val="Compact"/>
      </w:pPr>
      <w:r>
        <w:rPr>
          <w:bCs/>
          <w:b/>
        </w:rPr>
        <w:t xml:space="preserve">Brine Saturation:</w:t>
      </w:r>
      <w:r>
        <w:t xml:space="preserve"> </w:t>
      </w:r>
      <w:r>
        <w:t xml:space="preserve">Saturate the cores with brine solution under vacuum to ensure 100% water saturation.</w:t>
      </w:r>
    </w:p>
    <w:p>
      <w:pPr>
        <w:numPr>
          <w:ilvl w:val="0"/>
          <w:numId w:val="1002"/>
        </w:numPr>
        <w:pStyle w:val="Compact"/>
      </w:pPr>
      <w:r>
        <w:rPr>
          <w:bCs/>
          <w:b/>
        </w:rPr>
        <w:t xml:space="preserve">Oil Injection:</w:t>
      </w:r>
      <w:r>
        <w:t xml:space="preserve"> </w:t>
      </w:r>
      <w:r>
        <w:t xml:space="preserve">Inject crude oil into the cores at a controlled rate to establish initial oil saturation. Record the volume of oil injected and the pressure drop across the core.</w:t>
      </w:r>
    </w:p>
    <w:p>
      <w:pPr>
        <w:numPr>
          <w:ilvl w:val="0"/>
          <w:numId w:val="1002"/>
        </w:numPr>
        <w:pStyle w:val="Compact"/>
      </w:pPr>
      <w:r>
        <w:rPr>
          <w:bCs/>
          <w:b/>
        </w:rPr>
        <w:t xml:space="preserve">Water Flooding:</w:t>
      </w:r>
      <w:r>
        <w:t xml:space="preserve"> </w:t>
      </w:r>
      <w:r>
        <w:t xml:space="preserve">Perform primary water flooding until the water cut reaches 98%. This simulates conventional recovery methods.</w:t>
      </w:r>
    </w:p>
    <w:p>
      <w:pPr>
        <w:numPr>
          <w:ilvl w:val="0"/>
          <w:numId w:val="1002"/>
        </w:numPr>
        <w:pStyle w:val="Compact"/>
      </w:pPr>
      <w:r>
        <w:rPr>
          <w:bCs/>
          <w:b/>
        </w:rPr>
        <w:t xml:space="preserve">EOR Agent Injection:</w:t>
      </w:r>
      <w:r>
        <w:t xml:space="preserve"> </w:t>
      </w:r>
      <w:r>
        <w:t xml:space="preserve">Inject the surfactant-polymer solution at a rate of 0.5 mL/min. Monitor the pressure drop and oil production rate continuously.</w:t>
      </w:r>
    </w:p>
    <w:p>
      <w:pPr>
        <w:numPr>
          <w:ilvl w:val="0"/>
          <w:numId w:val="1002"/>
        </w:numPr>
        <w:pStyle w:val="Compact"/>
      </w:pPr>
      <w:r>
        <w:rPr>
          <w:bCs/>
          <w:b/>
        </w:rPr>
        <w:t xml:space="preserve">Data Collection:</w:t>
      </w:r>
      <w:r>
        <w:t xml:space="preserve"> </w:t>
      </w:r>
      <w:r>
        <w:t xml:space="preserve">Record all data points, including pressure, temperature, and fluid volumes, at regular intervals.</w:t>
      </w:r>
    </w:p>
    <w:p>
      <w:pPr>
        <w:numPr>
          <w:ilvl w:val="0"/>
          <w:numId w:val="1002"/>
        </w:numPr>
        <w:pStyle w:val="Compact"/>
      </w:pPr>
      <w:r>
        <w:rPr>
          <w:bCs/>
          <w:b/>
        </w:rPr>
        <w:t xml:space="preserve">Post-Experiment Analysis:</w:t>
      </w:r>
      <w:r>
        <w:t xml:space="preserve"> </w:t>
      </w:r>
      <w:r>
        <w:t xml:space="preserve">Disassemble the apparatus and analyze the core samples for residual oil saturation using X-ray computed tomography (CT).</w:t>
      </w:r>
    </w:p>
    <w:bookmarkEnd w:id="25"/>
    <w:bookmarkStart w:id="26" w:name="data-analysis-and-reporting"/>
    <w:p>
      <w:pPr>
        <w:pStyle w:val="Heading2"/>
      </w:pPr>
      <w:r>
        <w:t xml:space="preserve">6. Data Analysis and Reporting</w:t>
      </w:r>
    </w:p>
    <w:p>
      <w:pPr>
        <w:pStyle w:val="FirstParagraph"/>
      </w:pPr>
      <w:r>
        <w:t xml:space="preserve">The Petroleum Engineer is responsible for analyzing the experimental data to determine the efficiency of the EOR process. Key parameters to evaluate include:</w:t>
      </w:r>
    </w:p>
    <w:p>
      <w:pPr>
        <w:numPr>
          <w:ilvl w:val="0"/>
          <w:numId w:val="1003"/>
        </w:numPr>
        <w:pStyle w:val="Compact"/>
      </w:pPr>
      <w:r>
        <w:t xml:space="preserve">Recovery factor (RF)</w:t>
      </w:r>
    </w:p>
    <w:p>
      <w:pPr>
        <w:numPr>
          <w:ilvl w:val="0"/>
          <w:numId w:val="1003"/>
        </w:numPr>
        <w:pStyle w:val="Compact"/>
      </w:pPr>
      <w:r>
        <w:t xml:space="preserve">Pressure drop across the core</w:t>
      </w:r>
    </w:p>
    <w:p>
      <w:pPr>
        <w:numPr>
          <w:ilvl w:val="0"/>
          <w:numId w:val="1003"/>
        </w:numPr>
        <w:pStyle w:val="Compact"/>
      </w:pPr>
      <w:r>
        <w:t xml:space="preserve">Water cut profile</w:t>
      </w:r>
    </w:p>
    <w:p>
      <w:pPr>
        <w:numPr>
          <w:ilvl w:val="0"/>
          <w:numId w:val="1003"/>
        </w:numPr>
        <w:pStyle w:val="Compact"/>
      </w:pPr>
      <w:r>
        <w:t xml:space="preserve">Residual oil saturation</w:t>
      </w:r>
    </w:p>
    <w:p>
      <w:pPr>
        <w:pStyle w:val="FirstParagraph"/>
      </w:pPr>
      <w:r>
        <w:t xml:space="preserve">A comprehensive report must be submitted within 14 days of the experiment's completion. The report should include:</w:t>
      </w:r>
    </w:p>
    <w:p>
      <w:pPr>
        <w:numPr>
          <w:ilvl w:val="0"/>
          <w:numId w:val="1004"/>
        </w:numPr>
        <w:pStyle w:val="Compact"/>
      </w:pPr>
      <w:r>
        <w:t xml:space="preserve">Executive summary</w:t>
      </w:r>
    </w:p>
    <w:p>
      <w:pPr>
        <w:numPr>
          <w:ilvl w:val="0"/>
          <w:numId w:val="1004"/>
        </w:numPr>
        <w:pStyle w:val="Compact"/>
      </w:pPr>
      <w:r>
        <w:t xml:space="preserve">Methodology</w:t>
      </w:r>
    </w:p>
    <w:p>
      <w:pPr>
        <w:numPr>
          <w:ilvl w:val="0"/>
          <w:numId w:val="1004"/>
        </w:numPr>
        <w:pStyle w:val="Compact"/>
      </w:pPr>
      <w:r>
        <w:t xml:space="preserve">Results and discussion</w:t>
      </w:r>
    </w:p>
    <w:p>
      <w:pPr>
        <w:numPr>
          <w:ilvl w:val="0"/>
          <w:numId w:val="1004"/>
        </w:numPr>
        <w:pStyle w:val="Compact"/>
      </w:pPr>
      <w:r>
        <w:t xml:space="preserve">Conclusions and recommendations</w:t>
      </w:r>
    </w:p>
    <w:p>
      <w:pPr>
        <w:numPr>
          <w:ilvl w:val="0"/>
          <w:numId w:val="1004"/>
        </w:numPr>
        <w:pStyle w:val="Compact"/>
      </w:pPr>
      <w:r>
        <w:t xml:space="preserve">Appendices with raw data and calculations</w:t>
      </w:r>
    </w:p>
    <w:bookmarkEnd w:id="26"/>
    <w:bookmarkStart w:id="27" w:name="quality-assurance-and-control"/>
    <w:p>
      <w:pPr>
        <w:pStyle w:val="Heading2"/>
      </w:pPr>
      <w:r>
        <w:t xml:space="preserve">7. Quality Assurance and Control</w:t>
      </w:r>
    </w:p>
    <w:p>
      <w:pPr>
        <w:pStyle w:val="FirstParagraph"/>
      </w:pPr>
      <w:r>
        <w:t xml:space="preserve">To ensure the reliability and reproducibility of the results, the following quality assurance measures must be implemented:</w:t>
      </w:r>
    </w:p>
    <w:p>
      <w:pPr>
        <w:numPr>
          <w:ilvl w:val="0"/>
          <w:numId w:val="1005"/>
        </w:numPr>
        <w:pStyle w:val="Compact"/>
      </w:pPr>
      <w:r>
        <w:t xml:space="preserve">Calibrate all equipment before each experiment.</w:t>
      </w:r>
    </w:p>
    <w:p>
      <w:pPr>
        <w:numPr>
          <w:ilvl w:val="0"/>
          <w:numId w:val="1005"/>
        </w:numPr>
        <w:pStyle w:val="Compact"/>
      </w:pPr>
      <w:r>
        <w:t xml:space="preserve">Perform duplicate experiments to verify consistency.</w:t>
      </w:r>
    </w:p>
    <w:p>
      <w:pPr>
        <w:numPr>
          <w:ilvl w:val="0"/>
          <w:numId w:val="1005"/>
        </w:numPr>
        <w:pStyle w:val="Compact"/>
      </w:pPr>
      <w:r>
        <w:t xml:space="preserve">Maintain detailed logs of all experimental conditions and observations.</w:t>
      </w:r>
    </w:p>
    <w:p>
      <w:pPr>
        <w:numPr>
          <w:ilvl w:val="0"/>
          <w:numId w:val="1005"/>
        </w:numPr>
        <w:pStyle w:val="Compact"/>
      </w:pPr>
      <w:r>
        <w:t xml:space="preserve">Conduct regular audits of the laboratory procedures.</w:t>
      </w:r>
    </w:p>
    <w:bookmarkEnd w:id="27"/>
    <w:bookmarkStart w:id="28" w:name="conclusion"/>
    <w:p>
      <w:pPr>
        <w:pStyle w:val="Heading2"/>
      </w:pPr>
      <w:r>
        <w:t xml:space="preserve">8. Conclusion</w:t>
      </w:r>
    </w:p>
    <w:p>
      <w:pPr>
        <w:pStyle w:val="FirstParagraph"/>
      </w:pPr>
      <w:r>
        <w:t xml:space="preserve">This Experiment Protocol provides a robust framework for conducting EOR simulations in Singapore Singapore. By adhering to these guidelines, the Petroleum Engineer can ensure that the experiments are conducted safely, efficiently, and in compliance with local regulations. The insights gained from these experiments will contribute to the advancement of petroleum engineering practices and support the sustainable development of the energy sector in Singapore Singapore.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Simulation</dc:title>
  <dc:creator/>
  <dc:language>en</dc:language>
  <cp:keywords/>
  <dcterms:created xsi:type="dcterms:W3CDTF">2026-10-10T01:10:23Z</dcterms:created>
  <dcterms:modified xsi:type="dcterms:W3CDTF">2026-10-10T01:10:23Z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