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Carbonate</w:t>
      </w:r>
      <w:r>
        <w:t xml:space="preserve"> </w:t>
      </w:r>
      <w:r>
        <w:t xml:space="preserve">Reservoirs</w:t>
      </w:r>
    </w:p>
    <w:bookmarkStart w:id="20" w:name="X587af2e3f1f00c1c70b7696ef98ca073b8b3594"/>
    <w:p>
      <w:pPr>
        <w:pStyle w:val="Heading1"/>
      </w:pPr>
      <w:r>
        <w:t xml:space="preserve">Experiment Protocol: Enhanced Oil Recovery (EOR) in Carbonate Reservoirs</w:t>
      </w:r>
    </w:p>
    <w:p>
      <w:pPr>
        <w:pStyle w:val="FirstParagraph"/>
      </w:pPr>
      <w:r>
        <w:rPr>
          <w:bCs/>
          <w:b/>
        </w:rPr>
        <w:t xml:space="preserve">Document ID:</w:t>
      </w:r>
      <w:r>
        <w:t xml:space="preserve"> </w:t>
      </w:r>
      <w:r>
        <w:t xml:space="preserve">PE-VAL-2023-042</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End w:id="20"/>
    <w:p>
      <w:pPr>
        <w:pStyle w:val="BodyText"/>
      </w:pPr>
      <w:r>
        <w:rPr>
          <w:bCs/>
          <w:b/>
        </w:rPr>
        <w:t xml:space="preserve">Prepared By:</w:t>
      </w:r>
      <w:r>
        <w:t xml:space="preserve"> </w:t>
      </w:r>
      <w:r>
        <w:t xml:space="preserve">Senior Petroleum Engineer, Upstream Operations Division</w:t>
      </w:r>
    </w:p>
    <w:p>
      <w:pPr>
        <w:pStyle w:val="BodyText"/>
      </w:pPr>
      <w:r>
        <w:rPr>
          <w:bCs/>
          <w:b/>
        </w:rPr>
        <w:t xml:space="preserve">Location of Execution:</w:t>
      </w:r>
      <w:r>
        <w:t xml:space="preserve"> </w:t>
      </w:r>
      <w:r>
        <w:t xml:space="preserve">Research &amp; Development Laboratory, Valencia, Spain</w:t>
      </w:r>
    </w:p>
    <w:p>
      <w:pPr>
        <w:pStyle w:val="BodyText"/>
      </w:pPr>
      <w:r>
        <w:rPr>
          <w:bCs/>
          <w:b/>
        </w:rPr>
        <w:t xml:space="preserve">Regulatory Framework:</w:t>
      </w:r>
      <w:r>
        <w:t xml:space="preserve"> </w:t>
      </w:r>
      <w:r>
        <w:t xml:space="preserve">Compliant with Spanish Royal Decree 1022/2007 and EU Directive 2010/75/EU.</w:t>
      </w:r>
    </w:p>
    <w:p>
      <w:pPr>
        <w:pStyle w:val="BodyText"/>
      </w:pPr>
      <w:r>
        <w:rPr>
          <w:bCs/>
          <w:b/>
        </w:rPr>
        <w:t xml:space="preserve">Target Audience:</w:t>
      </w:r>
      <w:r>
        <w:t xml:space="preserve"> </w:t>
      </w:r>
      <w:r>
        <w:t xml:space="preserve">Laboratory Technicians, Field Engineers, and Environmental Compliance Officers.</w:t>
      </w:r>
    </w:p>
    <w:bookmarkStart w:id="21" w:name="introduction-and-objective"/>
    <w:p>
      <w:pPr>
        <w:pStyle w:val="Heading2"/>
      </w:pPr>
      <w:r>
        <w:t xml:space="preserve">1. Introduction and Objective</w:t>
      </w:r>
    </w:p>
    <w:p>
      <w:pPr>
        <w:pStyle w:val="FirstParagraph"/>
      </w:pPr>
      <w:r>
        <w:t xml:space="preserve">This</w:t>
      </w:r>
      <w:r>
        <w:t xml:space="preserve"> </w:t>
      </w:r>
      <w:r>
        <w:rPr>
          <w:bCs/>
          <w:b/>
        </w:rPr>
        <w:t xml:space="preserve">Experiment Protocol</w:t>
      </w:r>
      <w:r>
        <w:t xml:space="preserve"> </w:t>
      </w:r>
      <w:r>
        <w:t xml:space="preserve">outlines the rigorous methodology required for testing chemical flooding agents designed for Enhanced Oil Recovery (EOR) in carbonate reservoirs. As a</w:t>
      </w:r>
      <w:r>
        <w:t xml:space="preserve"> </w:t>
      </w:r>
      <w:r>
        <w:rPr>
          <w:bCs/>
          <w:b/>
        </w:rPr>
        <w:t xml:space="preserve">Petroleum Engineer</w:t>
      </w:r>
      <w:r>
        <w:t xml:space="preserve"> </w:t>
      </w:r>
      <w:r>
        <w:t xml:space="preserve">operating within the energy sector of</w:t>
      </w:r>
      <w:r>
        <w:t xml:space="preserve"> </w:t>
      </w:r>
      <w:r>
        <w:rPr>
          <w:bCs/>
          <w:b/>
        </w:rPr>
        <w:t xml:space="preserve">Spain Valencia</w:t>
      </w:r>
      <w:r>
        <w:t xml:space="preserve">, it is imperative to optimize extraction rates from mature fields while adhering to the stringent environmental standards characteristic of the Valencian Community.</w:t>
      </w:r>
    </w:p>
    <w:p>
      <w:pPr>
        <w:pStyle w:val="BodyText"/>
      </w:pPr>
      <w:r>
        <w:t xml:space="preserve">The primary objective of this experiment is to evaluate the efficiency of a novel surfactant-polymer solution in reducing interfacial tension and improving sweep efficiency in core samples representative of the Alboran Basin geology. This protocol ensures reproducibility, safety, and data integrity, aligning with the technical excellence expected of engineering practices in Valencia.</w:t>
      </w:r>
    </w:p>
    <w:bookmarkEnd w:id="21"/>
    <w:bookmarkStart w:id="22" w:name="scope-and-applicability"/>
    <w:p>
      <w:pPr>
        <w:pStyle w:val="Heading2"/>
      </w:pPr>
      <w:r>
        <w:t xml:space="preserve">2. Scope and Applicability</w:t>
      </w:r>
    </w:p>
    <w:p>
      <w:pPr>
        <w:pStyle w:val="FirstParagraph"/>
      </w:pPr>
      <w:r>
        <w:t xml:space="preserve">This protocol applies specifically to core flooding experiments conducted in the laboratory facilities located in Valencia. It is designed for</w:t>
      </w:r>
      <w:r>
        <w:t xml:space="preserve"> </w:t>
      </w:r>
      <w:r>
        <w:rPr>
          <w:bCs/>
          <w:b/>
        </w:rPr>
        <w:t xml:space="preserve">Petroleum Engineers</w:t>
      </w:r>
      <w:r>
        <w:t xml:space="preserve"> </w:t>
      </w:r>
      <w:r>
        <w:t xml:space="preserve">and technical staff involved in reservoir characterization and EOR strategy development. The procedures detailed herein must be followed strictly to ensure that the results are valid for subsequent field pilot tests in the region.</w:t>
      </w:r>
    </w:p>
    <w:p>
      <w:pPr>
        <w:pStyle w:val="BodyText"/>
      </w:pPr>
      <w:r>
        <w:t xml:space="preserve">The scope includes sample preparation, fluid formulation, core flooding execution, data acquisition, and post-experiment waste disposal in accordance with local regulations in</w:t>
      </w:r>
      <w:r>
        <w:t xml:space="preserve"> </w:t>
      </w:r>
      <w:r>
        <w:rPr>
          <w:bCs/>
          <w:b/>
        </w:rPr>
        <w:t xml:space="preserve">Spain Valencia</w:t>
      </w:r>
      <w:r>
        <w:t xml:space="preserve">.</w:t>
      </w:r>
    </w:p>
    <w:bookmarkEnd w:id="22"/>
    <w:bookmarkStart w:id="23" w:name="safety-and-environmental-compliance"/>
    <w:p>
      <w:pPr>
        <w:pStyle w:val="Heading2"/>
      </w:pPr>
      <w:r>
        <w:t xml:space="preserve">3. Safety and Environmental Compliance</w:t>
      </w:r>
    </w:p>
    <w:p>
      <w:pPr>
        <w:pStyle w:val="FirstParagraph"/>
      </w:pPr>
      <w:r>
        <w:t xml:space="preserve">Safety is paramount. All personnel must adhere to the Occupational Risk Prevention laws of Spain. Given the location in</w:t>
      </w:r>
      <w:r>
        <w:t xml:space="preserve"> </w:t>
      </w:r>
      <w:r>
        <w:rPr>
          <w:bCs/>
          <w:b/>
        </w:rPr>
        <w:t xml:space="preserve">Spain Valencia</w:t>
      </w:r>
      <w:r>
        <w:t xml:space="preserve">, specific attention must be paid to the protection of the local ecosystem, particularly regarding water discharge and chemical handling.</w:t>
      </w:r>
    </w:p>
    <w:p>
      <w:pPr>
        <w:numPr>
          <w:ilvl w:val="0"/>
          <w:numId w:val="1001"/>
        </w:numPr>
        <w:pStyle w:val="Compact"/>
      </w:pPr>
      <w:r>
        <w:rPr>
          <w:bCs/>
          <w:b/>
        </w:rPr>
        <w:t xml:space="preserve">Personal Protective Equipment (PPE):</w:t>
      </w:r>
      <w:r>
        <w:t xml:space="preserve"> </w:t>
      </w:r>
      <w:r>
        <w:t xml:space="preserve">Lab coats, safety goggles, nitrile gloves, and closed-toe shoes are mandatory.</w:t>
      </w:r>
    </w:p>
    <w:p>
      <w:pPr>
        <w:numPr>
          <w:ilvl w:val="0"/>
          <w:numId w:val="1001"/>
        </w:numPr>
        <w:pStyle w:val="Compact"/>
      </w:pPr>
      <w:r>
        <w:rPr>
          <w:bCs/>
          <w:b/>
        </w:rPr>
        <w:t xml:space="preserve">Chemical Handling:</w:t>
      </w:r>
      <w:r>
        <w:t xml:space="preserve"> </w:t>
      </w:r>
      <w:r>
        <w:t xml:space="preserve">All surfactants and polymers must be handled in a fume hood. Safety Data Sheets (SDS) must be accessible.</w:t>
      </w:r>
    </w:p>
    <w:p>
      <w:pPr>
        <w:numPr>
          <w:ilvl w:val="0"/>
          <w:numId w:val="1001"/>
        </w:numPr>
        <w:pStyle w:val="Compact"/>
      </w:pPr>
      <w:r>
        <w:rPr>
          <w:bCs/>
          <w:b/>
        </w:rPr>
        <w:t xml:space="preserve">Waste Disposal:</w:t>
      </w:r>
      <w:r>
        <w:t xml:space="preserve"> </w:t>
      </w:r>
      <w:r>
        <w:t xml:space="preserve">Used core samples and chemical effluents must be segregated and disposed of through certified hazardous waste management companies authorized in the Valencian Community.</w:t>
      </w:r>
    </w:p>
    <w:p>
      <w:pPr>
        <w:numPr>
          <w:ilvl w:val="0"/>
          <w:numId w:val="1001"/>
        </w:numPr>
        <w:pStyle w:val="Compact"/>
      </w:pPr>
      <w:r>
        <w:rPr>
          <w:bCs/>
          <w:b/>
        </w:rPr>
        <w:t xml:space="preserve">Emergency Procedures:</w:t>
      </w:r>
      <w:r>
        <w:t xml:space="preserve"> </w:t>
      </w:r>
      <w:r>
        <w:t xml:space="preserve">In case of spillage, utilize the spill kits located in the laboratory. Report incidents immediately to the site safety officer.</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Carbonate rock, 2.5 cm diameter, 10 cm length, from Alboran Basin</w:t>
            </w:r>
          </w:p>
        </w:tc>
        <w:tc>
          <w:tcPr/>
          <w:p>
            <w:pPr>
              <w:pStyle w:val="Compact"/>
              <w:jc w:val="left"/>
            </w:pPr>
            <w:r>
              <w:t xml:space="preserve">3</w:t>
            </w:r>
          </w:p>
        </w:tc>
      </w:tr>
      <w:tr>
        <w:tc>
          <w:tcPr/>
          <w:p>
            <w:pPr>
              <w:pStyle w:val="Compact"/>
              <w:jc w:val="left"/>
            </w:pPr>
            <w:r>
              <w:t xml:space="preserve">Core Holder</w:t>
            </w:r>
          </w:p>
        </w:tc>
        <w:tc>
          <w:tcPr/>
          <w:p>
            <w:pPr>
              <w:pStyle w:val="Compact"/>
              <w:jc w:val="left"/>
            </w:pPr>
            <w:r>
              <w:t xml:space="preserve">High-pressure, stainless steel, with confining pressure capability</w:t>
            </w:r>
          </w:p>
        </w:tc>
        <w:tc>
          <w:tcPr/>
          <w:p>
            <w:pPr>
              <w:pStyle w:val="Compact"/>
              <w:jc w:val="left"/>
            </w:pPr>
            <w:r>
              <w:t xml:space="preserve">1</w:t>
            </w:r>
          </w:p>
        </w:tc>
      </w:tr>
      <w:tr>
        <w:tc>
          <w:tcPr/>
          <w:p>
            <w:pPr>
              <w:pStyle w:val="Compact"/>
              <w:jc w:val="left"/>
            </w:pPr>
            <w:r>
              <w:t xml:space="preserve">Pumps</w:t>
            </w:r>
          </w:p>
        </w:tc>
        <w:tc>
          <w:tcPr/>
          <w:p>
            <w:pPr>
              <w:pStyle w:val="Compact"/>
              <w:jc w:val="left"/>
            </w:pPr>
            <w:r>
              <w:t xml:space="preserve">High-pressure syringe pumps for precise flow rate control</w:t>
            </w:r>
          </w:p>
        </w:tc>
        <w:tc>
          <w:tcPr/>
          <w:p>
            <w:pPr>
              <w:pStyle w:val="Compact"/>
              <w:jc w:val="left"/>
            </w:pPr>
            <w:r>
              <w:t xml:space="preserve">2</w:t>
            </w:r>
          </w:p>
        </w:tc>
      </w:tr>
      <w:tr>
        <w:tc>
          <w:tcPr/>
          <w:p>
            <w:pPr>
              <w:pStyle w:val="Compact"/>
              <w:jc w:val="left"/>
            </w:pPr>
            <w:r>
              <w:t xml:space="preserve">Back Pressure Regulator</w:t>
            </w:r>
          </w:p>
        </w:tc>
        <w:tc>
          <w:tcPr/>
          <w:p>
            <w:pPr>
              <w:pStyle w:val="Compact"/>
              <w:jc w:val="left"/>
            </w:pPr>
            <w:r>
              <w:t xml:space="preserve">Capable of maintaining reservoir pressure (up to 500 bar)</w:t>
            </w:r>
          </w:p>
        </w:tc>
        <w:tc>
          <w:tcPr/>
          <w:p>
            <w:pPr>
              <w:pStyle w:val="Compact"/>
              <w:jc w:val="left"/>
            </w:pPr>
            <w:r>
              <w:t xml:space="preserve">1</w:t>
            </w:r>
          </w:p>
        </w:tc>
      </w:tr>
      <w:tr>
        <w:tc>
          <w:tcPr/>
          <w:p>
            <w:pPr>
              <w:pStyle w:val="Compact"/>
              <w:jc w:val="left"/>
            </w:pPr>
            <w:r>
              <w:t xml:space="preserve">Surfactant Solution</w:t>
            </w:r>
          </w:p>
        </w:tc>
        <w:tc>
          <w:tcPr/>
          <w:p>
            <w:pPr>
              <w:pStyle w:val="Compact"/>
              <w:jc w:val="left"/>
            </w:pPr>
            <w:r>
              <w:t xml:space="preserve">Novel anionic surfactant, concentration 0.5 wt%</w:t>
            </w:r>
          </w:p>
        </w:tc>
        <w:tc>
          <w:tcPr/>
          <w:p>
            <w:pPr>
              <w:pStyle w:val="Compact"/>
              <w:jc w:val="left"/>
            </w:pPr>
            <w:r>
              <w:t xml:space="preserve">5 Liters</w:t>
            </w:r>
          </w:p>
        </w:tc>
      </w:tr>
      <w:tr>
        <w:tc>
          <w:tcPr/>
          <w:p>
            <w:pPr>
              <w:pStyle w:val="Compact"/>
              <w:jc w:val="left"/>
            </w:pPr>
            <w:r>
              <w:t xml:space="preserve">Brine</w:t>
            </w:r>
          </w:p>
        </w:tc>
        <w:tc>
          <w:tcPr/>
          <w:p>
            <w:pPr>
              <w:pStyle w:val="Compact"/>
              <w:jc w:val="left"/>
            </w:pPr>
            <w:r>
              <w:t xml:space="preserve">Synthetic formation water, salinity 100,000 ppm</w:t>
            </w:r>
          </w:p>
        </w:tc>
        <w:tc>
          <w:tcPr/>
          <w:p>
            <w:pPr>
              <w:pStyle w:val="Compact"/>
              <w:jc w:val="left"/>
            </w:pPr>
            <w:r>
              <w:t xml:space="preserve">10 Liters</w:t>
            </w:r>
          </w:p>
        </w:tc>
      </w:tr>
      <w:tr>
        <w:tc>
          <w:tcPr/>
          <w:p>
            <w:pPr>
              <w:pStyle w:val="Compact"/>
              <w:jc w:val="left"/>
            </w:pPr>
            <w:r>
              <w:t xml:space="preserve">Crude Oil</w:t>
            </w:r>
          </w:p>
        </w:tc>
        <w:tc>
          <w:tcPr/>
          <w:p>
            <w:pPr>
              <w:pStyle w:val="Compact"/>
              <w:jc w:val="left"/>
            </w:pPr>
            <w:r>
              <w:t xml:space="preserve">Live oil from target reservoir, viscosity 10 cP at reservoir conditions</w:t>
            </w:r>
          </w:p>
        </w:tc>
        <w:tc>
          <w:tcPr/>
          <w:p>
            <w:pPr>
              <w:pStyle w:val="Compact"/>
              <w:jc w:val="left"/>
            </w:pPr>
            <w:r>
              <w:t xml:space="preserve">2 Liters</w:t>
            </w:r>
          </w:p>
        </w:tc>
      </w:tr>
    </w:tbl>
    <w:bookmarkEnd w:id="24"/>
    <w:bookmarkStart w:id="30" w:name="experimental-procedure"/>
    <w:p>
      <w:pPr>
        <w:pStyle w:val="Heading2"/>
      </w:pPr>
      <w:r>
        <w:t xml:space="preserve">5. Experimental Procedure</w:t>
      </w:r>
    </w:p>
    <w:bookmarkStart w:id="25" w:name="sample-preparation"/>
    <w:p>
      <w:pPr>
        <w:pStyle w:val="Heading3"/>
      </w:pPr>
      <w:r>
        <w:t xml:space="preserve">5.1. Sample Preparation</w:t>
      </w:r>
    </w:p>
    <w:p>
      <w:pPr>
        <w:numPr>
          <w:ilvl w:val="0"/>
          <w:numId w:val="1002"/>
        </w:numPr>
        <w:pStyle w:val="Compact"/>
      </w:pPr>
      <w:r>
        <w:t xml:space="preserve">Clean the core samples using toluene and methanol to remove any residual hydrocarbons.</w:t>
      </w:r>
    </w:p>
    <w:p>
      <w:pPr>
        <w:numPr>
          <w:ilvl w:val="0"/>
          <w:numId w:val="1002"/>
        </w:numPr>
        <w:pStyle w:val="Compact"/>
      </w:pPr>
      <w:r>
        <w:t xml:space="preserve">Dry the cores in an oven at 60°C for 24 hours.</w:t>
      </w:r>
    </w:p>
    <w:p>
      <w:pPr>
        <w:numPr>
          <w:ilvl w:val="0"/>
          <w:numId w:val="1002"/>
        </w:numPr>
        <w:pStyle w:val="Compact"/>
      </w:pPr>
      <w:r>
        <w:t xml:space="preserve">Saturate the cores with synthetic formation brine under vacuum to ensure 100% water saturation.</w:t>
      </w:r>
    </w:p>
    <w:p>
      <w:pPr>
        <w:numPr>
          <w:ilvl w:val="0"/>
          <w:numId w:val="1002"/>
        </w:numPr>
        <w:pStyle w:val="Compact"/>
      </w:pPr>
      <w:r>
        <w:t xml:space="preserve">Measure the initial porosity and permeability of each core sample.</w:t>
      </w:r>
    </w:p>
    <w:bookmarkEnd w:id="25"/>
    <w:bookmarkStart w:id="26" w:name="oil-saturation"/>
    <w:p>
      <w:pPr>
        <w:pStyle w:val="Heading3"/>
      </w:pPr>
      <w:r>
        <w:t xml:space="preserve">5.2. Oil Saturation</w:t>
      </w:r>
    </w:p>
    <w:p>
      <w:pPr>
        <w:numPr>
          <w:ilvl w:val="0"/>
          <w:numId w:val="1003"/>
        </w:numPr>
        <w:pStyle w:val="Compact"/>
      </w:pPr>
      <w:r>
        <w:t xml:space="preserve">Inject crude oil into the core samples at a constant flow rate until no more water is produced.</w:t>
      </w:r>
    </w:p>
    <w:p>
      <w:pPr>
        <w:numPr>
          <w:ilvl w:val="0"/>
          <w:numId w:val="1003"/>
        </w:numPr>
        <w:pStyle w:val="Compact"/>
      </w:pPr>
      <w:r>
        <w:t xml:space="preserve">Maintain the core at reservoir temperature (80°C) and pressure (200 bar) for 24 hours to establish irreducible water saturation.</w:t>
      </w:r>
    </w:p>
    <w:p>
      <w:pPr>
        <w:numPr>
          <w:ilvl w:val="0"/>
          <w:numId w:val="1003"/>
        </w:numPr>
        <w:pStyle w:val="Compact"/>
      </w:pPr>
      <w:r>
        <w:t xml:space="preserve">Record the volume of oil injected and water produced to calculate initial oil saturation.</w:t>
      </w:r>
    </w:p>
    <w:bookmarkEnd w:id="26"/>
    <w:bookmarkStart w:id="27" w:name="water-flooding"/>
    <w:p>
      <w:pPr>
        <w:pStyle w:val="Heading3"/>
      </w:pPr>
      <w:r>
        <w:t xml:space="preserve">5.3. Water Flooding</w:t>
      </w:r>
    </w:p>
    <w:p>
      <w:pPr>
        <w:numPr>
          <w:ilvl w:val="0"/>
          <w:numId w:val="1004"/>
        </w:numPr>
        <w:pStyle w:val="Compact"/>
      </w:pPr>
      <w:r>
        <w:t xml:space="preserve">Begin water flooding by injecting synthetic brine at a constant rate of 1 mL/min.</w:t>
      </w:r>
    </w:p>
    <w:p>
      <w:pPr>
        <w:numPr>
          <w:ilvl w:val="0"/>
          <w:numId w:val="1004"/>
        </w:numPr>
        <w:pStyle w:val="Compact"/>
      </w:pPr>
      <w:r>
        <w:t xml:space="preserve">Continue injection until the water cut reaches 98%.</w:t>
      </w:r>
    </w:p>
    <w:p>
      <w:pPr>
        <w:numPr>
          <w:ilvl w:val="0"/>
          <w:numId w:val="1004"/>
        </w:numPr>
        <w:pStyle w:val="Compact"/>
      </w:pPr>
      <w:r>
        <w:t xml:space="preserve">Record pressure drop across the core and cumulative oil production.</w:t>
      </w:r>
    </w:p>
    <w:bookmarkEnd w:id="27"/>
    <w:bookmarkStart w:id="28" w:name="chemical-flooding"/>
    <w:p>
      <w:pPr>
        <w:pStyle w:val="Heading3"/>
      </w:pPr>
      <w:r>
        <w:t xml:space="preserve">5.4. Chemical Flooding</w:t>
      </w:r>
    </w:p>
    <w:p>
      <w:pPr>
        <w:numPr>
          <w:ilvl w:val="0"/>
          <w:numId w:val="1005"/>
        </w:numPr>
        <w:pStyle w:val="Compact"/>
      </w:pPr>
      <w:r>
        <w:t xml:space="preserve">Switch to the surfactant-polymer solution.</w:t>
      </w:r>
    </w:p>
    <w:p>
      <w:pPr>
        <w:numPr>
          <w:ilvl w:val="0"/>
          <w:numId w:val="1005"/>
        </w:numPr>
        <w:pStyle w:val="Compact"/>
      </w:pPr>
      <w:r>
        <w:t xml:space="preserve">Maintain the same flow rate and reservoir conditions.</w:t>
      </w:r>
    </w:p>
    <w:p>
      <w:pPr>
        <w:numPr>
          <w:ilvl w:val="0"/>
          <w:numId w:val="1005"/>
        </w:numPr>
        <w:pStyle w:val="Compact"/>
      </w:pPr>
      <w:r>
        <w:t xml:space="preserve">Monitor the effluent for surfactant concentration and oil production.</w:t>
      </w:r>
    </w:p>
    <w:p>
      <w:pPr>
        <w:numPr>
          <w:ilvl w:val="0"/>
          <w:numId w:val="1005"/>
        </w:numPr>
        <w:pStyle w:val="Compact"/>
      </w:pPr>
      <w:r>
        <w:t xml:space="preserve">Continue injection until breakthrough and until no more oil is produced.</w:t>
      </w:r>
    </w:p>
    <w:bookmarkEnd w:id="28"/>
    <w:bookmarkStart w:id="29" w:name="data-analysis"/>
    <w:p>
      <w:pPr>
        <w:pStyle w:val="Heading3"/>
      </w:pPr>
      <w:r>
        <w:t xml:space="preserve">5.5. Data Analysis</w:t>
      </w:r>
    </w:p>
    <w:p>
      <w:pPr>
        <w:numPr>
          <w:ilvl w:val="0"/>
          <w:numId w:val="1006"/>
        </w:numPr>
        <w:pStyle w:val="Compact"/>
      </w:pPr>
      <w:r>
        <w:t xml:space="preserve">Calculate the recovery factor for each stage (water flooding and chemical flooding).</w:t>
      </w:r>
    </w:p>
    <w:p>
      <w:pPr>
        <w:numPr>
          <w:ilvl w:val="0"/>
          <w:numId w:val="1006"/>
        </w:numPr>
        <w:pStyle w:val="Compact"/>
      </w:pPr>
      <w:r>
        <w:t xml:space="preserve">Analyze the pressure drop data to assess any changes in permeability.</w:t>
      </w:r>
    </w:p>
    <w:p>
      <w:pPr>
        <w:numPr>
          <w:ilvl w:val="0"/>
          <w:numId w:val="1006"/>
        </w:numPr>
        <w:pStyle w:val="Compact"/>
      </w:pPr>
      <w:r>
        <w:t xml:space="preserve">Compare the results with baseline data to determine the efficiency of the EOR agent.</w:t>
      </w:r>
    </w:p>
    <w:bookmarkEnd w:id="29"/>
    <w:bookmarkEnd w:id="30"/>
    <w:bookmarkStart w:id="31" w:name="quality-control-and-assurance"/>
    <w:p>
      <w:pPr>
        <w:pStyle w:val="Heading2"/>
      </w:pPr>
      <w:r>
        <w:t xml:space="preserve">6. Quality Control and Assurance</w:t>
      </w:r>
    </w:p>
    <w:p>
      <w:pPr>
        <w:pStyle w:val="FirstParagraph"/>
      </w:pPr>
      <w:r>
        <w:t xml:space="preserve">To ensure the reliability of the data, the following quality control measures must be implemented:</w:t>
      </w:r>
    </w:p>
    <w:p>
      <w:pPr>
        <w:numPr>
          <w:ilvl w:val="0"/>
          <w:numId w:val="1007"/>
        </w:numPr>
        <w:pStyle w:val="Compact"/>
      </w:pPr>
      <w:r>
        <w:t xml:space="preserve">All equipment must be calibrated before the start of the experiment.</w:t>
      </w:r>
    </w:p>
    <w:p>
      <w:pPr>
        <w:numPr>
          <w:ilvl w:val="0"/>
          <w:numId w:val="1007"/>
        </w:numPr>
        <w:pStyle w:val="Compact"/>
      </w:pPr>
      <w:r>
        <w:t xml:space="preserve">Temperature and pressure sensors must be checked for accuracy.</w:t>
      </w:r>
    </w:p>
    <w:p>
      <w:pPr>
        <w:numPr>
          <w:ilvl w:val="0"/>
          <w:numId w:val="1007"/>
        </w:numPr>
        <w:pStyle w:val="Compact"/>
      </w:pPr>
      <w:r>
        <w:t xml:space="preserve">Fluid properties (viscosity, density, salinity) must be measured and recorded.</w:t>
      </w:r>
    </w:p>
    <w:p>
      <w:pPr>
        <w:numPr>
          <w:ilvl w:val="0"/>
          <w:numId w:val="1007"/>
        </w:numPr>
        <w:pStyle w:val="Compact"/>
      </w:pPr>
      <w:r>
        <w:t xml:space="preserve">Any deviations from the protocol must be documented and justified.</w:t>
      </w:r>
    </w:p>
    <w:bookmarkEnd w:id="31"/>
    <w:bookmarkStart w:id="32" w:name="reporting-and-documentation"/>
    <w:p>
      <w:pPr>
        <w:pStyle w:val="Heading2"/>
      </w:pPr>
      <w:r>
        <w:t xml:space="preserve">7. Reporting and Documentation</w:t>
      </w:r>
    </w:p>
    <w:p>
      <w:pPr>
        <w:pStyle w:val="FirstParagraph"/>
      </w:pPr>
      <w:r>
        <w:t xml:space="preserve">Upon completion of the experiment, a comprehensive report must be prepared by the</w:t>
      </w:r>
      <w:r>
        <w:t xml:space="preserve"> </w:t>
      </w:r>
      <w:r>
        <w:rPr>
          <w:bCs/>
          <w:b/>
        </w:rPr>
        <w:t xml:space="preserve">Petroleum Engineer</w:t>
      </w:r>
      <w:r>
        <w:t xml:space="preserve"> </w:t>
      </w:r>
      <w:r>
        <w:t xml:space="preserve">in charge. The report should include:</w:t>
      </w:r>
    </w:p>
    <w:p>
      <w:pPr>
        <w:numPr>
          <w:ilvl w:val="0"/>
          <w:numId w:val="1008"/>
        </w:numPr>
        <w:pStyle w:val="Compact"/>
      </w:pPr>
      <w:r>
        <w:t xml:space="preserve">Executive summary of the findings.</w:t>
      </w:r>
    </w:p>
    <w:p>
      <w:pPr>
        <w:numPr>
          <w:ilvl w:val="0"/>
          <w:numId w:val="1008"/>
        </w:numPr>
        <w:pStyle w:val="Compact"/>
      </w:pPr>
      <w:r>
        <w:t xml:space="preserve">Detailed methodology and any deviations.</w:t>
      </w:r>
    </w:p>
    <w:p>
      <w:pPr>
        <w:numPr>
          <w:ilvl w:val="0"/>
          <w:numId w:val="1008"/>
        </w:numPr>
        <w:pStyle w:val="Compact"/>
      </w:pPr>
      <w:r>
        <w:t xml:space="preserve">Raw data and processed results.</w:t>
      </w:r>
    </w:p>
    <w:p>
      <w:pPr>
        <w:numPr>
          <w:ilvl w:val="0"/>
          <w:numId w:val="1008"/>
        </w:numPr>
        <w:pStyle w:val="Compact"/>
      </w:pPr>
      <w:r>
        <w:t xml:space="preserve">Graphs and charts illustrating oil recovery and pressure drop.</w:t>
      </w:r>
    </w:p>
    <w:p>
      <w:pPr>
        <w:numPr>
          <w:ilvl w:val="0"/>
          <w:numId w:val="1008"/>
        </w:numPr>
        <w:pStyle w:val="Compact"/>
      </w:pPr>
      <w:r>
        <w:t xml:space="preserve">Conclusions and recommendations for field application.</w:t>
      </w:r>
    </w:p>
    <w:p>
      <w:pPr>
        <w:numPr>
          <w:ilvl w:val="0"/>
          <w:numId w:val="1008"/>
        </w:numPr>
        <w:pStyle w:val="Compact"/>
      </w:pPr>
      <w:r>
        <w:t xml:space="preserve">Environmental impact assessment of the chemicals used.</w:t>
      </w:r>
    </w:p>
    <w:p>
      <w:pPr>
        <w:pStyle w:val="FirstParagraph"/>
      </w:pPr>
      <w:r>
        <w:t xml:space="preserve">The report must be submitted to the project manager and archived in the company's database in Valencia.</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approach for evaluating EOR techniques in carbonate reservoirs. By following these guidelines,</w:t>
      </w:r>
      <w:r>
        <w:t xml:space="preserve"> </w:t>
      </w:r>
      <w:r>
        <w:rPr>
          <w:bCs/>
          <w:b/>
        </w:rPr>
        <w:t xml:space="preserve">Petroleum Engineers</w:t>
      </w:r>
      <w:r>
        <w:t xml:space="preserve"> </w:t>
      </w:r>
      <w:r>
        <w:t xml:space="preserve">in</w:t>
      </w:r>
      <w:r>
        <w:t xml:space="preserve"> </w:t>
      </w:r>
      <w:r>
        <w:rPr>
          <w:bCs/>
          <w:b/>
        </w:rPr>
        <w:t xml:space="preserve">Spain Valencia</w:t>
      </w:r>
      <w:r>
        <w:t xml:space="preserve"> </w:t>
      </w:r>
      <w:r>
        <w:t xml:space="preserve">can ensure that their experiments are conducted safely, efficiently, and in compliance with local regulations. The data obtained will be crucial for optimizing oil recovery strategies and contributing to the sustainable development of the region's energy resources.</w:t>
      </w:r>
    </w:p>
    <w:p>
      <w:pPr>
        <w:pStyle w:val="BodyText"/>
      </w:pPr>
      <w:r>
        <w:t xml:space="preserve">© 2023 Petroleum Engineering Research Group, Valencia, Spain. All rights reserved.</w:t>
      </w:r>
    </w:p>
    <w:p>
      <w:pPr>
        <w:pStyle w:val="BodyText"/>
      </w:pPr>
      <w:r>
        <w:t xml:space="preserve">For technical inquiries, contact the Laboratory Manager.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Carbonate Reservoirs</dc:title>
  <dc:creator/>
  <dc:language>en</dc:language>
  <cp:keywords/>
  <dcterms:created xsi:type="dcterms:W3CDTF">2026-10-10T00:32:36Z</dcterms:created>
  <dcterms:modified xsi:type="dcterms:W3CDTF">2026-10-10T00:32:36Z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