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32" w:name="Xe330e88d31019a95ade703f1eff7c6fd6a60337"/>
    <w:p>
      <w:pPr>
        <w:pStyle w:val="Heading1"/>
      </w:pPr>
      <w:r>
        <w:t xml:space="preserve">Experiment Protocol: Petroleum Engineer - Sri Lanka Colombo</w:t>
      </w:r>
    </w:p>
    <w:p>
      <w:pPr>
        <w:pStyle w:val="FirstParagraph"/>
      </w:pPr>
      <w:r>
        <w:rPr>
          <w:bCs/>
          <w:b/>
        </w:rPr>
        <w:t xml:space="preserve">Document ID:</w:t>
      </w:r>
      <w:r>
        <w:t xml:space="preserve"> </w:t>
      </w:r>
      <w:r>
        <w:t xml:space="preserve">PE-SL-CMB-2024-001</w:t>
      </w:r>
    </w:p>
    <w:p>
      <w:pPr>
        <w:pStyle w:val="BodyText"/>
      </w:pPr>
      <w:r>
        <w:rPr>
          <w:bCs/>
          <w:b/>
        </w:rPr>
        <w:t xml:space="preserve">Title:</w:t>
      </w:r>
      <w:r>
        <w:t xml:space="preserve"> </w:t>
      </w:r>
      <w:r>
        <w:t xml:space="preserve">Experimental Protocol for Enhanced Oil Recovery (EOR) Simulation in Limestone Reservoirs</w:t>
      </w:r>
    </w:p>
    <w:p>
      <w:pPr>
        <w:pStyle w:val="BodyText"/>
      </w:pPr>
      <w:r>
        <w:rPr>
          <w:bCs/>
          <w:b/>
        </w:rPr>
        <w:t xml:space="preserve">Location:</w:t>
      </w:r>
      <w:r>
        <w:t xml:space="preserve"> </w:t>
      </w:r>
      <w:r>
        <w:t xml:space="preserve">Petroleum Engineering Research Laboratory, Colombo, Sri Lanka</w:t>
      </w:r>
    </w:p>
    <w:p>
      <w:pPr>
        <w:pStyle w:val="BodyText"/>
      </w:pPr>
      <w:r>
        <w:rPr>
          <w:bCs/>
          <w:b/>
        </w:rPr>
        <w:t xml:space="preserve">Lead Petroleum Engineer:</w:t>
      </w:r>
      <w:r>
        <w:t xml:space="preserve"> </w:t>
      </w:r>
      <w:r>
        <w:t xml:space="preserve">[Name Redacted]</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Approved for Implementation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to be followed by the Petroleum Engineer and the research team located in the Colombo metropolitan area of Sri Lanka. The primary objective of this experiment is to evaluate the efficiency of chemical flooding techniques for Enhanced Oil Recovery (EOR) in carbonate reservoirs, which are geologically analogous to potential offshore sedimentary basins in the Indian Ocean region surrounding Sri Lanka.</w:t>
      </w:r>
    </w:p>
    <w:p>
      <w:pPr>
        <w:pStyle w:val="BodyText"/>
      </w:pPr>
      <w:r>
        <w:t xml:space="preserve">As Sri Lanka continues to explore its energy resources, the role of the Petroleum Engineer in Colombo is critical in developing localized methodologies that account for regional geological characteristics. This protocol ensures that all experimental data collected is accurate, reproducible, and compliant with international engineering standards while adhering to local safety regulations in Sri Lanka.</w:t>
      </w:r>
    </w:p>
    <w:bookmarkEnd w:id="20"/>
    <w:bookmarkStart w:id="21" w:name="scope-and-applicability"/>
    <w:p>
      <w:pPr>
        <w:pStyle w:val="Heading2"/>
      </w:pPr>
      <w:r>
        <w:t xml:space="preserve">2. Scope and Applicability</w:t>
      </w:r>
    </w:p>
    <w:p>
      <w:pPr>
        <w:pStyle w:val="FirstParagraph"/>
      </w:pPr>
      <w:r>
        <w:t xml:space="preserve">This protocol applies specifically to the core flooding experiments conducted within the high-pressure, high-temperature (HPHT) flow loops situated in the Colombo laboratory facility. It is designed for use by senior Petroleum Engineers, research assistants, and technical staff involved in reservoir characterization and fluid dynamics analysis. The scope includes the preparation of rock cores, fluid formulation, execution of the flooding process, and post-experiment data analysis.</w:t>
      </w:r>
    </w:p>
    <w:bookmarkEnd w:id="21"/>
    <w:bookmarkStart w:id="22" w:name="safety-and-environmental-considerations"/>
    <w:p>
      <w:pPr>
        <w:pStyle w:val="Heading2"/>
      </w:pPr>
      <w:r>
        <w:t xml:space="preserve">3. Safety and Environmental Considerations</w:t>
      </w:r>
    </w:p>
    <w:p>
      <w:pPr>
        <w:pStyle w:val="FirstParagraph"/>
      </w:pPr>
      <w:r>
        <w:t xml:space="preserve">Given the location in Sri Lanka Colombo, all safety measures must comply with the Department of Occupational Safety and Health (DOSH) guidelines of Sri Lanka, as well as international petroleum industry standards (API/ISO).</w:t>
      </w:r>
    </w:p>
    <w:p>
      <w:pPr>
        <w:numPr>
          <w:ilvl w:val="0"/>
          <w:numId w:val="1001"/>
        </w:numPr>
        <w:pStyle w:val="Compact"/>
      </w:pPr>
      <w:r>
        <w:rPr>
          <w:bCs/>
          <w:b/>
        </w:rPr>
        <w:t xml:space="preserve">Personal Protective Equipment (PPE):</w:t>
      </w:r>
      <w:r>
        <w:t xml:space="preserve"> </w:t>
      </w:r>
      <w:r>
        <w:t xml:space="preserve">All personnel must wear lab coats, safety goggles, chemical-resistant gloves, and closed-toe shoes at all times within the laboratory.</w:t>
      </w:r>
    </w:p>
    <w:p>
      <w:pPr>
        <w:numPr>
          <w:ilvl w:val="0"/>
          <w:numId w:val="1001"/>
        </w:numPr>
        <w:pStyle w:val="Compact"/>
      </w:pPr>
      <w:r>
        <w:rPr>
          <w:bCs/>
          <w:b/>
        </w:rPr>
        <w:t xml:space="preserve">Chemical Handling:</w:t>
      </w:r>
      <w:r>
        <w:t xml:space="preserve"> </w:t>
      </w:r>
      <w:r>
        <w:t xml:space="preserve">Surfactants and polymers used in the EOR process must be handled in a fume hood to prevent inhalation of volatile organic compounds (VOCs).</w:t>
      </w:r>
    </w:p>
    <w:p>
      <w:pPr>
        <w:numPr>
          <w:ilvl w:val="0"/>
          <w:numId w:val="1001"/>
        </w:numPr>
        <w:pStyle w:val="Compact"/>
      </w:pPr>
      <w:r>
        <w:rPr>
          <w:bCs/>
          <w:b/>
        </w:rPr>
        <w:t xml:space="preserve">Emergency Procedures:</w:t>
      </w:r>
      <w:r>
        <w:t xml:space="preserve"> </w:t>
      </w:r>
      <w:r>
        <w:t xml:space="preserve">In the event of a spill or fire, the emergency response team in Colombo must be notified immediately. Eyewash stations and safety showers must be accessible within 10 seconds of any workstation.</w:t>
      </w:r>
    </w:p>
    <w:p>
      <w:pPr>
        <w:numPr>
          <w:ilvl w:val="0"/>
          <w:numId w:val="1001"/>
        </w:numPr>
        <w:pStyle w:val="Compact"/>
      </w:pPr>
      <w:r>
        <w:rPr>
          <w:bCs/>
          <w:b/>
        </w:rPr>
        <w:t xml:space="preserve">Waste Disposal:</w:t>
      </w:r>
      <w:r>
        <w:t xml:space="preserve"> </w:t>
      </w:r>
      <w:r>
        <w:t xml:space="preserve">All chemical waste must be segregated and disposed of according to the Central Environmental Authority (CEA) regulations of Sri Lanka.</w:t>
      </w:r>
    </w:p>
    <w:bookmarkEnd w:id="22"/>
    <w:bookmarkStart w:id="23" w:name="materials-and-equipment"/>
    <w:p>
      <w:pPr>
        <w:pStyle w:val="Heading2"/>
      </w:pPr>
      <w:r>
        <w:t xml:space="preserve">4. Materials and Equipment</w:t>
      </w:r>
    </w:p>
    <w:p>
      <w:pPr>
        <w:pStyle w:val="FirstParagraph"/>
      </w:pPr>
      <w:r>
        <w:t xml:space="preserve">The Petroleum Engineer must ensure the following equipment is calibrated and operational prior to the start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HPHT Core Flood Apparatus</w:t>
            </w:r>
          </w:p>
        </w:tc>
        <w:tc>
          <w:tcPr/>
          <w:p>
            <w:pPr>
              <w:pStyle w:val="Compact"/>
              <w:jc w:val="left"/>
            </w:pPr>
            <w:r>
              <w:t xml:space="preserve">Max Pressure: 10,000 psi; Max Temp: 200°C</w:t>
            </w:r>
          </w:p>
        </w:tc>
        <w:tc>
          <w:tcPr/>
          <w:p>
            <w:pPr>
              <w:pStyle w:val="Compact"/>
              <w:jc w:val="left"/>
            </w:pPr>
            <w:r>
              <w:t xml:space="preserve">1 Unit</w:t>
            </w:r>
          </w:p>
        </w:tc>
      </w:tr>
      <w:tr>
        <w:tc>
          <w:tcPr/>
          <w:p>
            <w:pPr>
              <w:pStyle w:val="Compact"/>
              <w:jc w:val="left"/>
            </w:pPr>
            <w:r>
              <w:t xml:space="preserve">Limestone Core Samples</w:t>
            </w:r>
          </w:p>
        </w:tc>
        <w:tc>
          <w:tcPr/>
          <w:p>
            <w:pPr>
              <w:pStyle w:val="Compact"/>
              <w:jc w:val="left"/>
            </w:pPr>
            <w:r>
              <w:t xml:space="preserve">Diameter: 2.54 cm; Length: 10 cm; Porosity: 15-20%</w:t>
            </w:r>
          </w:p>
        </w:tc>
        <w:tc>
          <w:tcPr/>
          <w:p>
            <w:pPr>
              <w:pStyle w:val="Compact"/>
              <w:jc w:val="left"/>
            </w:pPr>
            <w:r>
              <w:t xml:space="preserve">3 Samples</w:t>
            </w:r>
          </w:p>
        </w:tc>
      </w:tr>
      <w:tr>
        <w:tc>
          <w:tcPr/>
          <w:p>
            <w:pPr>
              <w:pStyle w:val="Compact"/>
              <w:jc w:val="left"/>
            </w:pPr>
            <w:r>
              <w:t xml:space="preserve">Synthetic Brine</w:t>
            </w:r>
          </w:p>
        </w:tc>
        <w:tc>
          <w:tcPr/>
          <w:p>
            <w:pPr>
              <w:pStyle w:val="Compact"/>
              <w:jc w:val="left"/>
            </w:pPr>
            <w:r>
              <w:t xml:space="preserve">Salinity: 100,000 ppm (simulating offshore reservoir water)</w:t>
            </w:r>
          </w:p>
        </w:tc>
        <w:tc>
          <w:tcPr/>
          <w:p>
            <w:pPr>
              <w:pStyle w:val="Compact"/>
              <w:jc w:val="left"/>
            </w:pPr>
            <w:r>
              <w:t xml:space="preserve">5 Liters</w:t>
            </w:r>
          </w:p>
        </w:tc>
      </w:tr>
      <w:tr>
        <w:tc>
          <w:tcPr/>
          <w:p>
            <w:pPr>
              <w:pStyle w:val="Compact"/>
              <w:jc w:val="left"/>
            </w:pPr>
            <w:r>
              <w:t xml:space="preserve">Surfactant Solution</w:t>
            </w:r>
          </w:p>
        </w:tc>
        <w:tc>
          <w:tcPr/>
          <w:p>
            <w:pPr>
              <w:pStyle w:val="Compact"/>
              <w:jc w:val="left"/>
            </w:pPr>
            <w:r>
              <w:t xml:space="preserve">Anionic type, concentration 0.5 wt%</w:t>
            </w:r>
          </w:p>
        </w:tc>
        <w:tc>
          <w:tcPr/>
          <w:p>
            <w:pPr>
              <w:pStyle w:val="Compact"/>
              <w:jc w:val="left"/>
            </w:pPr>
            <w:r>
              <w:t xml:space="preserve">2 Liters</w:t>
            </w:r>
          </w:p>
        </w:tc>
      </w:tr>
      <w:tr>
        <w:tc>
          <w:tcPr/>
          <w:p>
            <w:pPr>
              <w:pStyle w:val="Compact"/>
              <w:jc w:val="left"/>
            </w:pPr>
            <w:r>
              <w:t xml:space="preserve">Pressure Transducers</w:t>
            </w:r>
          </w:p>
        </w:tc>
        <w:tc>
          <w:tcPr/>
          <w:p>
            <w:pPr>
              <w:pStyle w:val="Compact"/>
              <w:jc w:val="left"/>
            </w:pPr>
            <w:r>
              <w:t xml:space="preserve">Accuracy: ±0.1% FS</w:t>
            </w:r>
          </w:p>
        </w:tc>
        <w:tc>
          <w:tcPr/>
          <w:p>
            <w:pPr>
              <w:pStyle w:val="Compact"/>
              <w:jc w:val="left"/>
            </w:pPr>
            <w:r>
              <w:t xml:space="preserve">2 Units</w:t>
            </w:r>
          </w:p>
        </w:tc>
      </w:tr>
      <w:tr>
        <w:tc>
          <w:tcPr/>
          <w:p>
            <w:pPr>
              <w:pStyle w:val="Compact"/>
              <w:jc w:val="left"/>
            </w:pPr>
            <w:r>
              <w:t xml:space="preserve">Data Acquisition System</w:t>
            </w:r>
          </w:p>
        </w:tc>
        <w:tc>
          <w:tcPr/>
          <w:p>
            <w:pPr>
              <w:pStyle w:val="Compact"/>
              <w:jc w:val="left"/>
            </w:pPr>
            <w:r>
              <w:t xml:space="preserve">Real-time logging capability</w:t>
            </w:r>
          </w:p>
        </w:tc>
        <w:tc>
          <w:tcPr/>
          <w:p>
            <w:pPr>
              <w:pStyle w:val="Compact"/>
              <w:jc w:val="left"/>
            </w:pPr>
            <w:r>
              <w:t xml:space="preserve">1 System</w:t>
            </w:r>
          </w:p>
        </w:tc>
      </w:tr>
    </w:tbl>
    <w:bookmarkEnd w:id="23"/>
    <w:bookmarkStart w:id="29" w:name="experimental-procedure"/>
    <w:p>
      <w:pPr>
        <w:pStyle w:val="Heading2"/>
      </w:pPr>
      <w:r>
        <w:t xml:space="preserve">5. Experimental Procedure</w:t>
      </w:r>
    </w:p>
    <w:p>
      <w:pPr>
        <w:pStyle w:val="FirstParagraph"/>
      </w:pPr>
      <w:r>
        <w:t xml:space="preserve">The Petroleum Engineer in charge must supervise the following steps meticulously:</w:t>
      </w:r>
    </w:p>
    <w:bookmarkStart w:id="24" w:name="core-preparation"/>
    <w:p>
      <w:pPr>
        <w:pStyle w:val="Heading3"/>
      </w:pPr>
      <w:r>
        <w:t xml:space="preserve">5.1 Core Preparation</w:t>
      </w:r>
    </w:p>
    <w:p>
      <w:pPr>
        <w:numPr>
          <w:ilvl w:val="0"/>
          <w:numId w:val="1002"/>
        </w:numPr>
        <w:pStyle w:val="Compact"/>
      </w:pPr>
      <w:r>
        <w:t xml:space="preserve">Clean the limestone core samples using toluene and methanol to remove any existing hydrocarbons or contaminants.</w:t>
      </w:r>
    </w:p>
    <w:p>
      <w:pPr>
        <w:numPr>
          <w:ilvl w:val="0"/>
          <w:numId w:val="1002"/>
        </w:numPr>
        <w:pStyle w:val="Compact"/>
      </w:pPr>
      <w:r>
        <w:t xml:space="preserve">Dry the cores in an oven at 60°C for 24 hours.</w:t>
      </w:r>
    </w:p>
    <w:p>
      <w:pPr>
        <w:numPr>
          <w:ilvl w:val="0"/>
          <w:numId w:val="1002"/>
        </w:numPr>
        <w:pStyle w:val="Compact"/>
      </w:pPr>
      <w:r>
        <w:t xml:space="preserve">Saturate the cores with synthetic brine under vacuum to ensure 100% water saturation.</w:t>
      </w:r>
    </w:p>
    <w:p>
      <w:pPr>
        <w:numPr>
          <w:ilvl w:val="0"/>
          <w:numId w:val="1002"/>
        </w:numPr>
        <w:pStyle w:val="Compact"/>
      </w:pPr>
      <w:r>
        <w:t xml:space="preserve">Measure and record the initial porosity and permeability of each core.</w:t>
      </w:r>
    </w:p>
    <w:bookmarkEnd w:id="24"/>
    <w:bookmarkStart w:id="25" w:name="system-setup"/>
    <w:p>
      <w:pPr>
        <w:pStyle w:val="Heading3"/>
      </w:pPr>
      <w:r>
        <w:t xml:space="preserve">5.2 System Setup</w:t>
      </w:r>
    </w:p>
    <w:p>
      <w:pPr>
        <w:numPr>
          <w:ilvl w:val="0"/>
          <w:numId w:val="1003"/>
        </w:numPr>
        <w:pStyle w:val="Compact"/>
      </w:pPr>
      <w:r>
        <w:t xml:space="preserve">Install the saturated core into the core holder of the HPHT apparatus.</w:t>
      </w:r>
    </w:p>
    <w:p>
      <w:pPr>
        <w:numPr>
          <w:ilvl w:val="0"/>
          <w:numId w:val="1003"/>
        </w:numPr>
        <w:pStyle w:val="Compact"/>
      </w:pPr>
      <w:r>
        <w:t xml:space="preserve">Apply confining pressure to simulate reservoir overburden pressure (e.g., 3,000 psi).</w:t>
      </w:r>
    </w:p>
    <w:p>
      <w:pPr>
        <w:numPr>
          <w:ilvl w:val="0"/>
          <w:numId w:val="1003"/>
        </w:numPr>
        <w:pStyle w:val="Compact"/>
      </w:pPr>
      <w:r>
        <w:t xml:space="preserve">Set the temperature of the oven to the target reservoir temperature (e.g., 80°C).</w:t>
      </w:r>
    </w:p>
    <w:p>
      <w:pPr>
        <w:numPr>
          <w:ilvl w:val="0"/>
          <w:numId w:val="1003"/>
        </w:numPr>
        <w:pStyle w:val="Compact"/>
      </w:pPr>
      <w:r>
        <w:t xml:space="preserve">Prime the injection pumps with synthetic brine.</w:t>
      </w:r>
    </w:p>
    <w:bookmarkEnd w:id="25"/>
    <w:bookmarkStart w:id="26" w:name="primary-recovery-water-flooding"/>
    <w:p>
      <w:pPr>
        <w:pStyle w:val="Heading3"/>
      </w:pPr>
      <w:r>
        <w:t xml:space="preserve">5.3 Primary Recovery (Water Flooding)</w:t>
      </w:r>
    </w:p>
    <w:p>
      <w:pPr>
        <w:numPr>
          <w:ilvl w:val="0"/>
          <w:numId w:val="1004"/>
        </w:numPr>
        <w:pStyle w:val="Compact"/>
      </w:pPr>
      <w:r>
        <w:t xml:space="preserve">Inject synthetic brine at a constant flow rate of 1 mL/min.</w:t>
      </w:r>
    </w:p>
    <w:p>
      <w:pPr>
        <w:numPr>
          <w:ilvl w:val="0"/>
          <w:numId w:val="1004"/>
        </w:numPr>
        <w:pStyle w:val="Compact"/>
      </w:pPr>
      <w:r>
        <w:t xml:space="preserve">Monitor the differential pressure across the core and the volume of produced fluid.</w:t>
      </w:r>
    </w:p>
    <w:p>
      <w:pPr>
        <w:numPr>
          <w:ilvl w:val="0"/>
          <w:numId w:val="1004"/>
        </w:numPr>
        <w:pStyle w:val="Compact"/>
      </w:pPr>
      <w:r>
        <w:t xml:space="preserve">Continue injection until the water cut reaches 98% or breakthrough occurs.</w:t>
      </w:r>
    </w:p>
    <w:bookmarkEnd w:id="26"/>
    <w:bookmarkStart w:id="27" w:name="secondary-recovery-chemical-flooding"/>
    <w:p>
      <w:pPr>
        <w:pStyle w:val="Heading3"/>
      </w:pPr>
      <w:r>
        <w:t xml:space="preserve">5.4 Secondary Recovery (Chemical Flooding)</w:t>
      </w:r>
    </w:p>
    <w:p>
      <w:pPr>
        <w:numPr>
          <w:ilvl w:val="0"/>
          <w:numId w:val="1005"/>
        </w:numPr>
        <w:pStyle w:val="Compact"/>
      </w:pPr>
      <w:r>
        <w:t xml:space="preserve">Switch the injection fluid to the surfactant solution.</w:t>
      </w:r>
    </w:p>
    <w:p>
      <w:pPr>
        <w:numPr>
          <w:ilvl w:val="0"/>
          <w:numId w:val="1005"/>
        </w:numPr>
        <w:pStyle w:val="Compact"/>
      </w:pPr>
      <w:r>
        <w:t xml:space="preserve">Maintain the same flow rate and monitor pressure drop and oil production.</w:t>
      </w:r>
    </w:p>
    <w:p>
      <w:pPr>
        <w:numPr>
          <w:ilvl w:val="0"/>
          <w:numId w:val="1005"/>
        </w:numPr>
        <w:pStyle w:val="Compact"/>
      </w:pPr>
      <w:r>
        <w:t xml:space="preserve">Continue until the surfactant concentration in the effluent matches the injected concentration.</w:t>
      </w:r>
    </w:p>
    <w:bookmarkEnd w:id="27"/>
    <w:bookmarkStart w:id="28" w:name="tertiary-recovery-water-flood"/>
    <w:p>
      <w:pPr>
        <w:pStyle w:val="Heading3"/>
      </w:pPr>
      <w:r>
        <w:t xml:space="preserve">5.5 Tertiary Recovery (Water Flood)</w:t>
      </w:r>
    </w:p>
    <w:p>
      <w:pPr>
        <w:numPr>
          <w:ilvl w:val="0"/>
          <w:numId w:val="1006"/>
        </w:numPr>
        <w:pStyle w:val="Compact"/>
      </w:pPr>
      <w:r>
        <w:t xml:space="preserve">Return to injecting synthetic brine to push the remaining surfactant and oil.</w:t>
      </w:r>
    </w:p>
    <w:p>
      <w:pPr>
        <w:numPr>
          <w:ilvl w:val="0"/>
          <w:numId w:val="1006"/>
        </w:numPr>
        <w:pStyle w:val="Compact"/>
      </w:pPr>
      <w:r>
        <w:t xml:space="preserve">Continue until no more oil is produced.</w:t>
      </w:r>
    </w:p>
    <w:bookmarkEnd w:id="28"/>
    <w:bookmarkEnd w:id="29"/>
    <w:bookmarkStart w:id="30" w:name="data-analysis-and-reporting"/>
    <w:p>
      <w:pPr>
        <w:pStyle w:val="Heading2"/>
      </w:pPr>
      <w:r>
        <w:t xml:space="preserve">6. Data Analysis and Reporting</w:t>
      </w:r>
    </w:p>
    <w:p>
      <w:pPr>
        <w:pStyle w:val="FirstParagraph"/>
      </w:pPr>
      <w:r>
        <w:t xml:space="preserve">The Petroleum Engineer must analyze the collected data to determine:</w:t>
      </w:r>
    </w:p>
    <w:p>
      <w:pPr>
        <w:numPr>
          <w:ilvl w:val="0"/>
          <w:numId w:val="1007"/>
        </w:numPr>
        <w:pStyle w:val="Compact"/>
      </w:pPr>
      <w:r>
        <w:t xml:space="preserve">Oil recovery factor (%) for each stage of the process.</w:t>
      </w:r>
    </w:p>
    <w:p>
      <w:pPr>
        <w:numPr>
          <w:ilvl w:val="0"/>
          <w:numId w:val="1007"/>
        </w:numPr>
        <w:pStyle w:val="Compact"/>
      </w:pPr>
      <w:r>
        <w:t xml:space="preserve">Changes in relative permeability curves.</w:t>
      </w:r>
    </w:p>
    <w:p>
      <w:pPr>
        <w:numPr>
          <w:ilvl w:val="0"/>
          <w:numId w:val="1007"/>
        </w:numPr>
        <w:pStyle w:val="Compact"/>
      </w:pPr>
      <w:r>
        <w:t xml:space="preserve">Impact of surfactant on interfacial tension and wettability alteration.</w:t>
      </w:r>
    </w:p>
    <w:p>
      <w:pPr>
        <w:pStyle w:val="FirstParagraph"/>
      </w:pPr>
      <w:r>
        <w:t xml:space="preserve">A comprehensive report must be generated, detailing the experimental conditions, results, and recommendations for field application in Sri Lanka's potential offshore blocks. The report should be submitted to the project management team in Colombo within two weeks of experiment completion.</w:t>
      </w:r>
    </w:p>
    <w:bookmarkEnd w:id="30"/>
    <w:bookmarkStart w:id="31" w:name="quality-assurance-and-control"/>
    <w:p>
      <w:pPr>
        <w:pStyle w:val="Heading2"/>
      </w:pPr>
      <w:r>
        <w:t xml:space="preserve">7. Quality Assurance and Control</w:t>
      </w:r>
    </w:p>
    <w:p>
      <w:pPr>
        <w:pStyle w:val="FirstParagraph"/>
      </w:pPr>
      <w:r>
        <w:t xml:space="preserve">To ensure the integrity of the experiment, the following QA/QC measures are mandatory:</w:t>
      </w:r>
    </w:p>
    <w:p>
      <w:pPr>
        <w:numPr>
          <w:ilvl w:val="0"/>
          <w:numId w:val="1008"/>
        </w:numPr>
        <w:pStyle w:val="Compact"/>
      </w:pPr>
      <w:r>
        <w:t xml:space="preserve">All pressure and temperature sensors must be calibrated before each run.</w:t>
      </w:r>
    </w:p>
    <w:p>
      <w:pPr>
        <w:numPr>
          <w:ilvl w:val="0"/>
          <w:numId w:val="1008"/>
        </w:numPr>
        <w:pStyle w:val="Compact"/>
      </w:pPr>
      <w:r>
        <w:t xml:space="preserve">Fluid compositions must be verified using titration and chromatography.</w:t>
      </w:r>
    </w:p>
    <w:p>
      <w:pPr>
        <w:numPr>
          <w:ilvl w:val="0"/>
          <w:numId w:val="1008"/>
        </w:numPr>
        <w:pStyle w:val="Compact"/>
      </w:pPr>
      <w:r>
        <w:t xml:space="preserve">Any deviations from this protocol must be documented and approved by the lead Petroleum Engineer.</w:t>
      </w:r>
    </w:p>
    <w:bookmarkEnd w:id="31"/>
    <w:p>
      <w:pPr>
        <w:pStyle w:val="FirstParagraph"/>
      </w:pPr>
      <w:r>
        <w:rPr>
          <w:bCs/>
          <w:b/>
        </w:rPr>
        <w:t xml:space="preserve">Lead Petroleum Engineer</w:t>
      </w:r>
      <w:r>
        <w:br/>
      </w:r>
      <w:r>
        <w:t xml:space="preserve">Signature: _________________________</w:t>
      </w:r>
      <w:r>
        <w:br/>
      </w:r>
      <w:r>
        <w:t xml:space="preserve">Date: _________________________</w:t>
      </w:r>
    </w:p>
    <w:p>
      <w:pPr>
        <w:pStyle w:val="BodyText"/>
      </w:pPr>
      <w:r>
        <w:rPr>
          <w:bCs/>
          <w:b/>
        </w:rPr>
        <w:t xml:space="preserve">Lab Safety Officer (Colombo)</w:t>
      </w:r>
      <w:r>
        <w:br/>
      </w:r>
      <w:r>
        <w:t xml:space="preserve">Signature: _________________________</w:t>
      </w:r>
      <w:r>
        <w:br/>
      </w:r>
      <w:r>
        <w:t xml:space="preserve">Date: 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Sri Lanka Colombo</dc:title>
  <dc:creator/>
  <dc:language>en</dc:language>
  <cp:keywords/>
  <dcterms:created xsi:type="dcterms:W3CDTF">2026-10-10T05:06:23Z</dcterms:created>
  <dcterms:modified xsi:type="dcterms:W3CDTF">2026-10-10T05:06:23Z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