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Reservoir</w:t>
      </w:r>
      <w:r>
        <w:t xml:space="preserve"> </w:t>
      </w:r>
      <w:r>
        <w:t xml:space="preserve">Characterization</w:t>
      </w:r>
      <w:r>
        <w:t xml:space="preserve"> </w:t>
      </w:r>
      <w:r>
        <w:t xml:space="preserve">and</w:t>
      </w:r>
      <w:r>
        <w:t xml:space="preserve"> </w:t>
      </w:r>
      <w:r>
        <w:t xml:space="preserve">Fluid</w:t>
      </w:r>
      <w:r>
        <w:t xml:space="preserve"> </w:t>
      </w:r>
      <w:r>
        <w:t xml:space="preserve">Dynamics</w:t>
      </w:r>
      <w:r>
        <w:t xml:space="preserve"> </w:t>
      </w:r>
      <w:r>
        <w:t xml:space="preserve">Simulation</w:t>
      </w:r>
    </w:p>
    <w:bookmarkStart w:id="20" w:name="Xc0c4d8ac04a115b752fd0610b671938590cdf65"/>
    <w:p>
      <w:pPr>
        <w:pStyle w:val="Heading1"/>
      </w:pPr>
      <w:r>
        <w:t xml:space="preserve">Experiment Protocol: Advanced Reservoir Characterization and Fluid Dynamics Simulation</w:t>
      </w:r>
    </w:p>
    <w:p>
      <w:pPr>
        <w:pStyle w:val="FirstParagraph"/>
      </w:pPr>
      <w:r>
        <w:rPr>
          <w:bCs/>
          <w:b/>
        </w:rPr>
        <w:t xml:space="preserve">Document ID:</w:t>
      </w:r>
      <w:r>
        <w:t xml:space="preserve"> </w:t>
      </w:r>
      <w:r>
        <w:t xml:space="preserve">EP-ZH-PE-2023-042</w:t>
      </w:r>
    </w:p>
    <w:p>
      <w:pPr>
        <w:pStyle w:val="BodyText"/>
      </w:pPr>
      <w:r>
        <w:rPr>
          <w:bCs/>
          <w:b/>
        </w:rPr>
        <w:t xml:space="preserve">Location:</w:t>
      </w:r>
      <w:r>
        <w:t xml:space="preserve"> </w:t>
      </w:r>
      <w:r>
        <w:t xml:space="preserve">Zurich, Switzerland</w:t>
      </w:r>
    </w:p>
    <w:p>
      <w:pPr>
        <w:pStyle w:val="BodyText"/>
      </w:pPr>
      <w:r>
        <w:rPr>
          <w:bCs/>
          <w:b/>
        </w:rPr>
        <w:t xml:space="preserve">Discipline:</w:t>
      </w:r>
      <w:r>
        <w:t xml:space="preserve"> </w:t>
      </w:r>
      <w:r>
        <w:t xml:space="preserve">Petroleum Engineering</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high-precision reservoir characterization and fluid dynamics simulations. The primary objective is to evaluate the efficiency of enhanced oil recovery (EOR) techniques under conditions mimicking the geological formations found in the Alpine foreland region of Switzerland. As a Petroleum Engineer operating in Zurich, the focus is on integrating advanced computational modeling with physical core analysis to optimize hydrocarbon extraction while adhering to the stringent environmental regulations characteristic of Switzerland.</w:t>
      </w:r>
    </w:p>
    <w:p>
      <w:pPr>
        <w:pStyle w:val="BodyText"/>
      </w:pPr>
      <w:r>
        <w:t xml:space="preserve">The experiment aims to determine the impact of varying injection pressures and fluid viscosities on the displacement efficiency within low-permeability sandstone cores. This data is critical for developing sustainable extraction strategies that align with the energy transition goals of the Swiss Confederation.</w:t>
      </w:r>
    </w:p>
    <w:bookmarkEnd w:id="21"/>
    <w:bookmarkStart w:id="22" w:name="scope-and-applicability"/>
    <w:p>
      <w:pPr>
        <w:pStyle w:val="Heading2"/>
      </w:pPr>
      <w:r>
        <w:t xml:space="preserve">2. Scope and Applicability</w:t>
      </w:r>
    </w:p>
    <w:p>
      <w:pPr>
        <w:pStyle w:val="FirstParagraph"/>
      </w:pPr>
      <w:r>
        <w:t xml:space="preserve">This protocol applies to all laboratory experiments conducted within the Petroleum Engineering department facilities in Zurich. It is designed for use by senior engineers, research assistants, and graduate students involved in subsurface resource management. The procedures described herein are compliant with the Swiss Code of Practice for Laboratory Safety and the specific guidelines set forth by the Federal Office of Energy (SFOE).</w:t>
      </w:r>
    </w:p>
    <w:bookmarkEnd w:id="22"/>
    <w:bookmarkStart w:id="23" w:name="safety-and-environmental-compliance"/>
    <w:p>
      <w:pPr>
        <w:pStyle w:val="Heading2"/>
      </w:pPr>
      <w:r>
        <w:t xml:space="preserve">3. Safety and Environmental Compliance</w:t>
      </w:r>
    </w:p>
    <w:p>
      <w:pPr>
        <w:pStyle w:val="FirstParagraph"/>
      </w:pPr>
      <w:r>
        <w:t xml:space="preserve">Given the location in Zurich, Switzerland, strict adherence to local and federal safety standards is mandatory. The following measures must be observed:</w:t>
      </w:r>
    </w:p>
    <w:p>
      <w:pPr>
        <w:numPr>
          <w:ilvl w:val="0"/>
          <w:numId w:val="1001"/>
        </w:numPr>
        <w:pStyle w:val="Compact"/>
      </w:pPr>
      <w:r>
        <w:rPr>
          <w:bCs/>
          <w:b/>
        </w:rPr>
        <w:t xml:space="preserve">Personal Protective Equipment (PPE):</w:t>
      </w:r>
      <w:r>
        <w:t xml:space="preserve"> </w:t>
      </w:r>
      <w:r>
        <w:t xml:space="preserve">All personnel must wear ANSI-approved safety goggles, nitrile gloves, lab coats, and closed-toe shoes. Respiratory protection is required when handling volatile organic compounds (VOCs).</w:t>
      </w:r>
    </w:p>
    <w:p>
      <w:pPr>
        <w:numPr>
          <w:ilvl w:val="0"/>
          <w:numId w:val="1001"/>
        </w:numPr>
        <w:pStyle w:val="Compact"/>
      </w:pPr>
      <w:r>
        <w:rPr>
          <w:bCs/>
          <w:b/>
        </w:rPr>
        <w:t xml:space="preserve">Chemical Handling:</w:t>
      </w:r>
      <w:r>
        <w:t xml:space="preserve"> </w:t>
      </w:r>
      <w:r>
        <w:t xml:space="preserve">All chemicals must be stored in accordance with the Swiss Ordinance on Hazardous Substances (OChim). Material Safety Data Sheets (MSDS) must be accessible at all times.</w:t>
      </w:r>
    </w:p>
    <w:p>
      <w:pPr>
        <w:numPr>
          <w:ilvl w:val="0"/>
          <w:numId w:val="1001"/>
        </w:numPr>
        <w:pStyle w:val="Compact"/>
      </w:pPr>
      <w:r>
        <w:rPr>
          <w:bCs/>
          <w:b/>
        </w:rPr>
        <w:t xml:space="preserve">Waste Disposal:</w:t>
      </w:r>
      <w:r>
        <w:t xml:space="preserve"> </w:t>
      </w:r>
      <w:r>
        <w:t xml:space="preserve">Waste fluids and core samples must be segregated and disposed of through certified hazardous waste management facilities in the Canton of Zurich.</w:t>
      </w:r>
    </w:p>
    <w:p>
      <w:pPr>
        <w:numPr>
          <w:ilvl w:val="0"/>
          <w:numId w:val="1001"/>
        </w:numPr>
        <w:pStyle w:val="Compact"/>
      </w:pPr>
      <w:r>
        <w:rPr>
          <w:bCs/>
          <w:b/>
        </w:rPr>
        <w:t xml:space="preserve">Emergency Procedures:</w:t>
      </w:r>
      <w:r>
        <w:t xml:space="preserve"> </w:t>
      </w:r>
      <w:r>
        <w:t xml:space="preserve">In case of spillage or exposure, follow the emergency protocols posted in the laboratory. The nearest emergency exit and eyewash station must be identified before commencing work.</w:t>
      </w:r>
    </w:p>
    <w:bookmarkEnd w:id="23"/>
    <w:bookmarkStart w:id="24" w:name="materials-and-equipment"/>
    <w:p>
      <w:pPr>
        <w:pStyle w:val="Heading2"/>
      </w:pPr>
      <w:r>
        <w:t xml:space="preserve">4. Materials and Equipment</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Flood Apparatus</w:t>
            </w:r>
          </w:p>
        </w:tc>
        <w:tc>
          <w:tcPr/>
          <w:p>
            <w:pPr>
              <w:pStyle w:val="Compact"/>
              <w:jc w:val="left"/>
            </w:pPr>
            <w:r>
              <w:t xml:space="preserve">High-pressure, high-temperature capable (up to 100 MPa, 150°C)</w:t>
            </w:r>
          </w:p>
        </w:tc>
        <w:tc>
          <w:tcPr/>
          <w:p>
            <w:pPr>
              <w:pStyle w:val="Compact"/>
              <w:jc w:val="left"/>
            </w:pPr>
            <w:r>
              <w:t xml:space="preserve">1</w:t>
            </w:r>
          </w:p>
        </w:tc>
      </w:tr>
      <w:tr>
        <w:tc>
          <w:tcPr/>
          <w:p>
            <w:pPr>
              <w:pStyle w:val="Compact"/>
              <w:jc w:val="left"/>
            </w:pPr>
            <w:r>
              <w:t xml:space="preserve">Sandstone Core Samples</w:t>
            </w:r>
          </w:p>
        </w:tc>
        <w:tc>
          <w:tcPr/>
          <w:p>
            <w:pPr>
              <w:pStyle w:val="Compact"/>
              <w:jc w:val="left"/>
            </w:pPr>
            <w:r>
              <w:t xml:space="preserve">5 cm diameter, 10 cm length, sourced from Alpine foreland</w:t>
            </w:r>
          </w:p>
        </w:tc>
        <w:tc>
          <w:tcPr/>
          <w:p>
            <w:pPr>
              <w:pStyle w:val="Compact"/>
              <w:jc w:val="left"/>
            </w:pPr>
            <w:r>
              <w:t xml:space="preserve">3</w:t>
            </w:r>
          </w:p>
        </w:tc>
      </w:tr>
      <w:tr>
        <w:tc>
          <w:tcPr/>
          <w:p>
            <w:pPr>
              <w:pStyle w:val="Compact"/>
              <w:jc w:val="left"/>
            </w:pPr>
            <w:r>
              <w:t xml:space="preserve">Synthetic Brine</w:t>
            </w:r>
          </w:p>
        </w:tc>
        <w:tc>
          <w:tcPr/>
          <w:p>
            <w:pPr>
              <w:pStyle w:val="Compact"/>
              <w:jc w:val="left"/>
            </w:pPr>
            <w:r>
              <w:t xml:space="preserve">Matching reservoir salinity (150,000 ppm TDS)</w:t>
            </w:r>
          </w:p>
        </w:tc>
        <w:tc>
          <w:tcPr/>
          <w:p>
            <w:pPr>
              <w:pStyle w:val="Compact"/>
              <w:jc w:val="left"/>
            </w:pPr>
            <w:r>
              <w:t xml:space="preserve">5 L</w:t>
            </w:r>
          </w:p>
        </w:tc>
      </w:tr>
      <w:tr>
        <w:tc>
          <w:tcPr/>
          <w:p>
            <w:pPr>
              <w:pStyle w:val="Compact"/>
              <w:jc w:val="left"/>
            </w:pPr>
            <w:r>
              <w:t xml:space="preserve">Crude Oil Analog</w:t>
            </w:r>
          </w:p>
        </w:tc>
        <w:tc>
          <w:tcPr/>
          <w:p>
            <w:pPr>
              <w:pStyle w:val="Compact"/>
              <w:jc w:val="left"/>
            </w:pPr>
            <w:r>
              <w:t xml:space="preserve">Viscosity: 50 cP at reservoir conditions</w:t>
            </w:r>
          </w:p>
        </w:tc>
        <w:tc>
          <w:tcPr/>
          <w:p>
            <w:pPr>
              <w:pStyle w:val="Compact"/>
              <w:jc w:val="left"/>
            </w:pPr>
            <w:r>
              <w:t xml:space="preserve">5 L</w:t>
            </w:r>
          </w:p>
        </w:tc>
      </w:tr>
      <w:tr>
        <w:tc>
          <w:tcPr/>
          <w:p>
            <w:pPr>
              <w:pStyle w:val="Compact"/>
              <w:jc w:val="left"/>
            </w:pPr>
            <w:r>
              <w:t xml:space="preserve">Pressure Transducers</w:t>
            </w:r>
          </w:p>
        </w:tc>
        <w:tc>
          <w:tcPr/>
          <w:p>
            <w:pPr>
              <w:pStyle w:val="Compact"/>
              <w:jc w:val="left"/>
            </w:pPr>
            <w:r>
              <w:t xml:space="preserve">Accuracy: ±0.1% of full scale</w:t>
            </w:r>
          </w:p>
        </w:tc>
        <w:tc>
          <w:tcPr/>
          <w:p>
            <w:pPr>
              <w:pStyle w:val="Compact"/>
              <w:jc w:val="left"/>
            </w:pPr>
            <w:r>
              <w:t xml:space="preserve">2</w:t>
            </w:r>
          </w:p>
        </w:tc>
      </w:tr>
      <w:tr>
        <w:tc>
          <w:tcPr/>
          <w:p>
            <w:pPr>
              <w:pStyle w:val="Compact"/>
              <w:jc w:val="left"/>
            </w:pPr>
            <w:r>
              <w:t xml:space="preserve">Data Acquisition System</w:t>
            </w:r>
          </w:p>
        </w:tc>
        <w:tc>
          <w:tcPr/>
          <w:p>
            <w:pPr>
              <w:pStyle w:val="Compact"/>
              <w:jc w:val="left"/>
            </w:pPr>
            <w:r>
              <w:t xml:space="preserve">Real-time monitoring and logging capability</w:t>
            </w:r>
          </w:p>
        </w:tc>
        <w:tc>
          <w:tcPr/>
          <w:p>
            <w:pPr>
              <w:pStyle w:val="Compact"/>
              <w:jc w:val="left"/>
            </w:pPr>
            <w:r>
              <w:t xml:space="preserve">1</w:t>
            </w:r>
          </w:p>
        </w:tc>
      </w:tr>
    </w:tbl>
    <w:bookmarkEnd w:id="24"/>
    <w:bookmarkStart w:id="30" w:name="experimental-procedure"/>
    <w:p>
      <w:pPr>
        <w:pStyle w:val="Heading2"/>
      </w:pPr>
      <w:r>
        <w:t xml:space="preserve">5. Experimental Procedure</w:t>
      </w:r>
    </w:p>
    <w:bookmarkStart w:id="25" w:name="core-sample-preparation"/>
    <w:p>
      <w:pPr>
        <w:pStyle w:val="Heading3"/>
      </w:pPr>
      <w:r>
        <w:t xml:space="preserve">5.1. Core Sample Preparation</w:t>
      </w:r>
    </w:p>
    <w:p>
      <w:pPr>
        <w:numPr>
          <w:ilvl w:val="0"/>
          <w:numId w:val="1002"/>
        </w:numPr>
        <w:pStyle w:val="Compact"/>
      </w:pPr>
      <w:r>
        <w:t xml:space="preserve">Clean the sandstone core samples using toluene and methanol to remove any residual hydrocarbons.</w:t>
      </w:r>
    </w:p>
    <w:p>
      <w:pPr>
        <w:numPr>
          <w:ilvl w:val="0"/>
          <w:numId w:val="1002"/>
        </w:numPr>
        <w:pStyle w:val="Compact"/>
      </w:pPr>
      <w:r>
        <w:t xml:space="preserve">Dry the cores in an oven at 105°C for 24 hours.</w:t>
      </w:r>
    </w:p>
    <w:p>
      <w:pPr>
        <w:numPr>
          <w:ilvl w:val="0"/>
          <w:numId w:val="1002"/>
        </w:numPr>
        <w:pStyle w:val="Compact"/>
      </w:pPr>
      <w:r>
        <w:t xml:space="preserve">Measure the dry weight and dimensions of each core to calculate porosity and permeability.</w:t>
      </w:r>
    </w:p>
    <w:bookmarkEnd w:id="25"/>
    <w:bookmarkStart w:id="26" w:name="saturation-with-brine"/>
    <w:p>
      <w:pPr>
        <w:pStyle w:val="Heading3"/>
      </w:pPr>
      <w:r>
        <w:t xml:space="preserve">5.2. Saturation with Brine</w:t>
      </w:r>
    </w:p>
    <w:p>
      <w:pPr>
        <w:numPr>
          <w:ilvl w:val="0"/>
          <w:numId w:val="1003"/>
        </w:numPr>
        <w:pStyle w:val="Compact"/>
      </w:pPr>
      <w:r>
        <w:t xml:space="preserve">Place the dried core samples in the core holder.</w:t>
      </w:r>
    </w:p>
    <w:p>
      <w:pPr>
        <w:numPr>
          <w:ilvl w:val="0"/>
          <w:numId w:val="1003"/>
        </w:numPr>
        <w:pStyle w:val="Compact"/>
      </w:pPr>
      <w:r>
        <w:t xml:space="preserve">Inject synthetic brine at a constant rate until breakthrough is observed.</w:t>
      </w:r>
    </w:p>
    <w:p>
      <w:pPr>
        <w:numPr>
          <w:ilvl w:val="0"/>
          <w:numId w:val="1003"/>
        </w:numPr>
        <w:pStyle w:val="Compact"/>
      </w:pPr>
      <w:r>
        <w:t xml:space="preserve">Maintain overburden pressure at 20 MPa to simulate reservoir conditions.</w:t>
      </w:r>
    </w:p>
    <w:bookmarkEnd w:id="26"/>
    <w:bookmarkStart w:id="27" w:name="oil-saturation"/>
    <w:p>
      <w:pPr>
        <w:pStyle w:val="Heading3"/>
      </w:pPr>
      <w:r>
        <w:t xml:space="preserve">5.3. Oil Saturation</w:t>
      </w:r>
    </w:p>
    <w:p>
      <w:pPr>
        <w:numPr>
          <w:ilvl w:val="0"/>
          <w:numId w:val="1004"/>
        </w:numPr>
        <w:pStyle w:val="Compact"/>
      </w:pPr>
      <w:r>
        <w:t xml:space="preserve">Inject the crude oil analog into the brine-saturated core until no more brine is produced.</w:t>
      </w:r>
    </w:p>
    <w:p>
      <w:pPr>
        <w:numPr>
          <w:ilvl w:val="0"/>
          <w:numId w:val="1004"/>
        </w:numPr>
        <w:pStyle w:val="Compact"/>
      </w:pPr>
      <w:r>
        <w:t xml:space="preserve">Record the volume of oil injected to determine the initial oil saturation.</w:t>
      </w:r>
    </w:p>
    <w:bookmarkEnd w:id="27"/>
    <w:bookmarkStart w:id="28" w:name="water-flooding"/>
    <w:p>
      <w:pPr>
        <w:pStyle w:val="Heading3"/>
      </w:pPr>
      <w:r>
        <w:t xml:space="preserve">5.4. Water Flooding</w:t>
      </w:r>
    </w:p>
    <w:p>
      <w:pPr>
        <w:numPr>
          <w:ilvl w:val="0"/>
          <w:numId w:val="1005"/>
        </w:numPr>
        <w:pStyle w:val="Compact"/>
      </w:pPr>
      <w:r>
        <w:t xml:space="preserve">Begin injecting synthetic brine at a constant rate of 1 mL/min.</w:t>
      </w:r>
    </w:p>
    <w:p>
      <w:pPr>
        <w:numPr>
          <w:ilvl w:val="0"/>
          <w:numId w:val="1005"/>
        </w:numPr>
        <w:pStyle w:val="Compact"/>
      </w:pPr>
      <w:r>
        <w:t xml:space="preserve">Monitor the pressure drop across the core and the volume of oil produced.</w:t>
      </w:r>
    </w:p>
    <w:p>
      <w:pPr>
        <w:numPr>
          <w:ilvl w:val="0"/>
          <w:numId w:val="1005"/>
        </w:numPr>
        <w:pStyle w:val="Compact"/>
      </w:pPr>
      <w:r>
        <w:t xml:space="preserve">Continue injection until the water cut reaches 98%.</w:t>
      </w:r>
    </w:p>
    <w:bookmarkEnd w:id="28"/>
    <w:bookmarkStart w:id="29" w:name="enhanced-oil-recovery-eor-phase"/>
    <w:p>
      <w:pPr>
        <w:pStyle w:val="Heading3"/>
      </w:pPr>
      <w:r>
        <w:t xml:space="preserve">5.5. Enhanced Oil Recovery (EOR) Phase</w:t>
      </w:r>
    </w:p>
    <w:p>
      <w:pPr>
        <w:numPr>
          <w:ilvl w:val="0"/>
          <w:numId w:val="1006"/>
        </w:numPr>
        <w:pStyle w:val="Compact"/>
      </w:pPr>
      <w:r>
        <w:t xml:space="preserve">Introduce a polymer solution to increase the viscosity of the injected fluid.</w:t>
      </w:r>
    </w:p>
    <w:p>
      <w:pPr>
        <w:numPr>
          <w:ilvl w:val="0"/>
          <w:numId w:val="1006"/>
        </w:numPr>
        <w:pStyle w:val="Compact"/>
      </w:pPr>
      <w:r>
        <w:t xml:space="preserve">Maintain the same injection rate and monitor the additional oil recovery.</w:t>
      </w:r>
    </w:p>
    <w:p>
      <w:pPr>
        <w:numPr>
          <w:ilvl w:val="0"/>
          <w:numId w:val="1006"/>
        </w:numPr>
        <w:pStyle w:val="Compact"/>
      </w:pPr>
      <w:r>
        <w:t xml:space="preserve">Continue until the water cut reaches 99%.</w:t>
      </w:r>
    </w:p>
    <w:bookmarkEnd w:id="29"/>
    <w:bookmarkEnd w:id="30"/>
    <w:bookmarkStart w:id="31" w:name="data-analysis"/>
    <w:p>
      <w:pPr>
        <w:pStyle w:val="Heading2"/>
      </w:pPr>
      <w:r>
        <w:t xml:space="preserve">6. Data Analysis</w:t>
      </w:r>
    </w:p>
    <w:p>
      <w:pPr>
        <w:pStyle w:val="FirstParagraph"/>
      </w:pPr>
      <w:r>
        <w:t xml:space="preserve">The data collected during the experiment will be analyzed to determine the following parameters:</w:t>
      </w:r>
    </w:p>
    <w:p>
      <w:pPr>
        <w:numPr>
          <w:ilvl w:val="0"/>
          <w:numId w:val="1007"/>
        </w:numPr>
        <w:pStyle w:val="Compact"/>
      </w:pPr>
      <w:r>
        <w:rPr>
          <w:bCs/>
          <w:b/>
        </w:rPr>
        <w:t xml:space="preserve">Relative Permeability Curves:</w:t>
      </w:r>
      <w:r>
        <w:t xml:space="preserve"> </w:t>
      </w:r>
      <w:r>
        <w:t xml:space="preserve">Plotting the relative permeability of oil and water as a function of saturation.</w:t>
      </w:r>
    </w:p>
    <w:p>
      <w:pPr>
        <w:numPr>
          <w:ilvl w:val="0"/>
          <w:numId w:val="1007"/>
        </w:numPr>
        <w:pStyle w:val="Compact"/>
      </w:pPr>
      <w:r>
        <w:rPr>
          <w:bCs/>
          <w:b/>
        </w:rPr>
        <w:t xml:space="preserve">Recovery Efficiency:</w:t>
      </w:r>
      <w:r>
        <w:t xml:space="preserve"> </w:t>
      </w:r>
      <w:r>
        <w:t xml:space="preserve">Calculating the percentage of original oil in place (OOIP) recovered during each phase.</w:t>
      </w:r>
    </w:p>
    <w:p>
      <w:pPr>
        <w:numPr>
          <w:ilvl w:val="0"/>
          <w:numId w:val="1007"/>
        </w:numPr>
        <w:pStyle w:val="Compact"/>
      </w:pPr>
      <w:r>
        <w:rPr>
          <w:bCs/>
          <w:b/>
        </w:rPr>
        <w:t xml:space="preserve">Pressure Drop Analysis:</w:t>
      </w:r>
      <w:r>
        <w:t xml:space="preserve"> </w:t>
      </w:r>
      <w:r>
        <w:t xml:space="preserve">Evaluating the impact of fluid viscosity on the pressure drop across the core.</w:t>
      </w:r>
    </w:p>
    <w:p>
      <w:pPr>
        <w:pStyle w:val="FirstParagraph"/>
      </w:pPr>
      <w:r>
        <w:t xml:space="preserve">All data will be processed using specialized petroleum engineering software, ensuring accuracy and reproducibility. The results will be compared with existing models to validate the simulation assumptions.</w:t>
      </w:r>
    </w:p>
    <w:bookmarkEnd w:id="31"/>
    <w:bookmarkStart w:id="32" w:name="quality-assurance-and-control"/>
    <w:p>
      <w:pPr>
        <w:pStyle w:val="Heading2"/>
      </w:pPr>
      <w:r>
        <w:t xml:space="preserve">7. Quality Assurance and Control</w:t>
      </w:r>
    </w:p>
    <w:p>
      <w:pPr>
        <w:pStyle w:val="FirstParagraph"/>
      </w:pPr>
      <w:r>
        <w:t xml:space="preserve">To ensure the reliability of the experimental results, the following quality assurance measures will be implemented:</w:t>
      </w:r>
    </w:p>
    <w:p>
      <w:pPr>
        <w:numPr>
          <w:ilvl w:val="0"/>
          <w:numId w:val="1008"/>
        </w:numPr>
        <w:pStyle w:val="Compact"/>
      </w:pPr>
      <w:r>
        <w:t xml:space="preserve">Calibration of all pressure transducers and flow meters before each experiment.</w:t>
      </w:r>
    </w:p>
    <w:p>
      <w:pPr>
        <w:numPr>
          <w:ilvl w:val="0"/>
          <w:numId w:val="1008"/>
        </w:numPr>
        <w:pStyle w:val="Compact"/>
      </w:pPr>
      <w:r>
        <w:t xml:space="preserve">Replication of each experiment at least three times to ensure consistency.</w:t>
      </w:r>
    </w:p>
    <w:p>
      <w:pPr>
        <w:numPr>
          <w:ilvl w:val="0"/>
          <w:numId w:val="1008"/>
        </w:numPr>
        <w:pStyle w:val="Compact"/>
      </w:pPr>
      <w:r>
        <w:t xml:space="preserve">Regular review of data logs by a senior Petroleum Engineer.</w:t>
      </w:r>
    </w:p>
    <w:p>
      <w:pPr>
        <w:numPr>
          <w:ilvl w:val="0"/>
          <w:numId w:val="1008"/>
        </w:numPr>
        <w:pStyle w:val="Compact"/>
      </w:pPr>
      <w:r>
        <w:t xml:space="preserve">Documentation of any deviations from the protocol and their potential impact on the results.</w:t>
      </w:r>
    </w:p>
    <w:bookmarkEnd w:id="32"/>
    <w:bookmarkStart w:id="33" w:name="conclusion-and-reporting"/>
    <w:p>
      <w:pPr>
        <w:pStyle w:val="Heading2"/>
      </w:pPr>
      <w:r>
        <w:t xml:space="preserve">8. Conclusion and Reporting</w:t>
      </w:r>
    </w:p>
    <w:p>
      <w:pPr>
        <w:pStyle w:val="FirstParagraph"/>
      </w:pPr>
      <w:r>
        <w:t xml:space="preserve">Upon completion of the experiment, a comprehensive report will be prepared detailing the methodology, results, and conclusions. The report will highlight the effectiveness of the EOR technique under the simulated conditions and provide recommendations for field applications. This document will be archived in the departmental repository and made available for peer review and future reference.</w:t>
      </w:r>
    </w:p>
    <w:p>
      <w:pPr>
        <w:pStyle w:val="BodyText"/>
      </w:pPr>
      <w:r>
        <w:t xml:space="preserve">This Experiment Protocol is a living document and will be updated as necessary to reflect advancements in technology, changes in regulatory requirements, or lessons learned from previous experiments. All personnel involved in the experiment are expected to adhere strictly to the procedures outlined herein to ensure the safety, integrity, and success of the research.</w:t>
      </w:r>
    </w:p>
    <w:bookmarkEnd w:id="33"/>
    <w:p>
      <w:pPr>
        <w:pStyle w:val="BodyText"/>
      </w:pPr>
      <w:r>
        <w:rPr>
          <w:bCs/>
          <w:b/>
        </w:rPr>
        <w:t xml:space="preserve">Prepared by:</w:t>
      </w:r>
      <w:r>
        <w:t xml:space="preserve"> </w:t>
      </w:r>
      <w:r>
        <w:t xml:space="preserve">[Name], Senior Petroleum Engineer</w:t>
      </w:r>
    </w:p>
    <w:p>
      <w:pPr>
        <w:pStyle w:val="BodyText"/>
      </w:pPr>
      <w:r>
        <w:rPr>
          <w:bCs/>
          <w:b/>
        </w:rPr>
        <w:t xml:space="preserve">Reviewed by:</w:t>
      </w:r>
      <w:r>
        <w:t xml:space="preserve"> </w:t>
      </w:r>
      <w:r>
        <w:t xml:space="preserve">[Name], Laboratory Director</w:t>
      </w:r>
    </w:p>
    <w:p>
      <w:pPr>
        <w:pStyle w:val="BodyText"/>
      </w:pPr>
      <w:r>
        <w:rPr>
          <w:bCs/>
          <w:b/>
        </w:rPr>
        <w:t xml:space="preserve">Approved by:</w:t>
      </w:r>
      <w:r>
        <w:t xml:space="preserve"> </w:t>
      </w:r>
      <w:r>
        <w:t xml:space="preserve">[Name], Department Head</w:t>
      </w:r>
    </w:p>
    <w:p>
      <w:pPr>
        <w:pStyle w:val="BodyText"/>
      </w:pPr>
      <w:r>
        <w:rPr>
          <w:bCs/>
          <w:b/>
        </w:rPr>
        <w:t xml:space="preserve">Institution:</w:t>
      </w:r>
      <w:r>
        <w:t xml:space="preserve"> </w:t>
      </w:r>
      <w:r>
        <w:t xml:space="preserve">Zurich Institute of Petroleum Engineering, Switzerland</w:t>
      </w:r>
    </w:p>
    <w:p>
      <w:pPr>
        <w:pStyle w:val="BodyText"/>
      </w:pPr>
      <w:r>
        <w:rPr>
          <w:bCs/>
          <w:b/>
        </w:rPr>
        <w:t xml:space="preserve">Contact:</w:t>
      </w:r>
      <w:r>
        <w:t xml:space="preserve"> </w:t>
      </w:r>
      <w:r>
        <w:t xml:space="preserve">info@zipe.ch | +41 44 123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Reservoir Characterization and Fluid Dynamics Simulation</dc:title>
  <dc:creator/>
  <dc:language>en</dc:language>
  <cp:keywords/>
  <dcterms:created xsi:type="dcterms:W3CDTF">2026-10-10T02:32:39Z</dcterms:created>
  <dcterms:modified xsi:type="dcterms:W3CDTF">2026-10-10T02:32:39Z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