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r>
        <w:t xml:space="preserve"> </w:t>
      </w:r>
      <w:r>
        <w:t xml:space="preserve">-</w:t>
      </w:r>
      <w:r>
        <w:t xml:space="preserve"> </w:t>
      </w:r>
      <w:r>
        <w:t xml:space="preserve">Bangkok,</w:t>
      </w:r>
      <w:r>
        <w:t xml:space="preserve"> </w:t>
      </w:r>
      <w:r>
        <w:t xml:space="preserve">Thailand</w:t>
      </w:r>
    </w:p>
    <w:bookmarkStart w:id="20" w:name="X4e84f7a7c57d7c06bfb49e070f153abe03b29dc"/>
    <w:p>
      <w:pPr>
        <w:pStyle w:val="Heading1"/>
      </w:pPr>
      <w:r>
        <w:t xml:space="preserve">Experiment Protocol: Enhanced Oil Recovery Simulation</w:t>
      </w:r>
    </w:p>
    <w:p>
      <w:pPr>
        <w:pStyle w:val="FirstParagraph"/>
      </w:pPr>
      <w:r>
        <w:rPr>
          <w:bCs/>
          <w:b/>
        </w:rPr>
        <w:t xml:space="preserve">Location:</w:t>
      </w:r>
      <w:r>
        <w:t xml:space="preserve"> </w:t>
      </w:r>
      <w:r>
        <w:t xml:space="preserve">Petroleum Engineering Research Laboratory, Bangkok, Thailand</w:t>
      </w:r>
    </w:p>
    <w:p>
      <w:pPr>
        <w:pStyle w:val="BodyText"/>
      </w:pPr>
      <w:r>
        <w:rPr>
          <w:bCs/>
          <w:b/>
        </w:rPr>
        <w:t xml:space="preserve">Prepared For:</w:t>
      </w:r>
      <w:r>
        <w:t xml:space="preserve"> </w:t>
      </w:r>
      <w:r>
        <w:t xml:space="preserve">Petroleum Engineer Certification &amp; Research Standards</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PET-TH-BKK-2023-04</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Enhanced Oil Recovery (EOR) simulations specifically tailored for the geological conditions found in the Gulf of Thailand and surrounding onshore fields near Bangkok. The primary objective is to evaluate the efficiency of polymer flooding techniques in high-salinity reservoir environments typical of Thai petroleum deposits.</w:t>
      </w:r>
    </w:p>
    <w:p>
      <w:pPr>
        <w:pStyle w:val="BodyText"/>
      </w:pPr>
      <w:r>
        <w:t xml:space="preserve">This document serves as a mandatory guideline for any Petroleum Engineer operating within the Bangkok metropolitan research facilities or affiliated field sites. It ensures compliance with the Department of Mineral Fuels (DMF) regulations and international safety standards adapted for the local climate and infrastructure.</w:t>
      </w:r>
    </w:p>
    <w:bookmarkEnd w:id="21"/>
    <w:bookmarkStart w:id="22" w:name="scope-and-applicability"/>
    <w:p>
      <w:pPr>
        <w:pStyle w:val="Heading2"/>
      </w:pPr>
      <w:r>
        <w:t xml:space="preserve">2. Scope and Applicability</w:t>
      </w:r>
    </w:p>
    <w:p>
      <w:pPr>
        <w:pStyle w:val="FirstParagraph"/>
      </w:pPr>
      <w:r>
        <w:t xml:space="preserve">This protocol applies to all laboratory-based core flooding experiments conducted by Petroleum Engineers in Bangkok. It covers the preparation of synthetic brine, core sample conditioning, polymer solution injection, and data acquisition. The procedures are designed to withstand the high humidity and temperature variations common in the Bangkok region, which can affect sensitive instrumentation and chemical stability.</w:t>
      </w:r>
    </w:p>
    <w:bookmarkEnd w:id="22"/>
    <w:bookmarkStart w:id="23" w:name="safety-and-environmental-compliance"/>
    <w:p>
      <w:pPr>
        <w:pStyle w:val="Heading2"/>
      </w:pPr>
      <w:r>
        <w:t xml:space="preserve">3. Safety and Environmental Compliance</w:t>
      </w:r>
    </w:p>
    <w:p>
      <w:pPr>
        <w:pStyle w:val="FirstParagraph"/>
      </w:pPr>
      <w:r>
        <w:t xml:space="preserve">Given the location in a densely populated area like Bangkok, strict adherence to environmental and safety protocols is non-negotiable. All Petroleum Engineers must adhere to the following:</w:t>
      </w:r>
    </w:p>
    <w:p>
      <w:pPr>
        <w:numPr>
          <w:ilvl w:val="0"/>
          <w:numId w:val="1001"/>
        </w:numPr>
        <w:pStyle w:val="Compact"/>
      </w:pPr>
      <w:r>
        <w:rPr>
          <w:bCs/>
          <w:b/>
        </w:rPr>
        <w:t xml:space="preserve">Chemical Handling:</w:t>
      </w:r>
      <w:r>
        <w:t xml:space="preserve"> </w:t>
      </w:r>
      <w:r>
        <w:t xml:space="preserve">All polymers and solvents must be stored in ventilated cabinets compliant with Thai Industrial Standards (TIS).</w:t>
      </w:r>
    </w:p>
    <w:p>
      <w:pPr>
        <w:numPr>
          <w:ilvl w:val="0"/>
          <w:numId w:val="1001"/>
        </w:numPr>
        <w:pStyle w:val="Compact"/>
      </w:pPr>
      <w:r>
        <w:rPr>
          <w:bCs/>
          <w:b/>
        </w:rPr>
        <w:t xml:space="preserve">Waste Disposal:</w:t>
      </w:r>
      <w:r>
        <w:t xml:space="preserve"> </w:t>
      </w:r>
      <w:r>
        <w:t xml:space="preserve">Used core samples and chemical effluents must be treated at the on-site filtration plant before discharge into the Bangkok Metropolitan Administration (BMA) sewage system.</w:t>
      </w:r>
    </w:p>
    <w:p>
      <w:pPr>
        <w:numPr>
          <w:ilvl w:val="0"/>
          <w:numId w:val="1001"/>
        </w:numPr>
        <w:pStyle w:val="Compact"/>
      </w:pPr>
      <w:r>
        <w:rPr>
          <w:bCs/>
          <w:b/>
        </w:rPr>
        <w:t xml:space="preserve">Personal Protective Equipment (PPE):</w:t>
      </w:r>
      <w:r>
        <w:t xml:space="preserve"> </w:t>
      </w:r>
      <w:r>
        <w:t xml:space="preserve">Heat-resistant gloves, safety goggles, and lab coats are mandatory due to the high temperatures required for reservoir simulation.</w:t>
      </w:r>
    </w:p>
    <w:p>
      <w:pPr>
        <w:pStyle w:val="FirstParagraph"/>
      </w:pPr>
      <w:r>
        <w:rPr>
          <w:bCs/>
          <w:b/>
        </w:rPr>
        <w:t xml:space="preserve">Warning:</w:t>
      </w:r>
      <w:r>
        <w:t xml:space="preserve"> </w:t>
      </w:r>
      <w:r>
        <w:t xml:space="preserve">In the event of a chemical spill, immediately activate the emergency shutdown system and notify the Bangkok Fire Department via the dedicated industrial line.</w:t>
      </w:r>
    </w:p>
    <w:bookmarkEnd w:id="23"/>
    <w:bookmarkStart w:id="24" w:name="materials-and-equipment"/>
    <w:p>
      <w:pPr>
        <w:pStyle w:val="Heading2"/>
      </w:pPr>
      <w:r>
        <w:t xml:space="preserve">4. Materials and Equipment</w:t>
      </w:r>
    </w:p>
    <w:p>
      <w:pPr>
        <w:pStyle w:val="FirstParagraph"/>
      </w:pPr>
      <w:r>
        <w:t xml:space="preserve">The following equipment must be calibrated according to ISO standards before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Flooding Apparatus</w:t>
            </w:r>
          </w:p>
        </w:tc>
        <w:tc>
          <w:tcPr/>
          <w:p>
            <w:pPr>
              <w:pStyle w:val="Compact"/>
              <w:jc w:val="left"/>
            </w:pPr>
            <w:r>
              <w:t xml:space="preserve">High-pressure, high-temperature (HPHT) capable up to 150°C</w:t>
            </w:r>
          </w:p>
        </w:tc>
        <w:tc>
          <w:tcPr/>
          <w:p>
            <w:pPr>
              <w:pStyle w:val="Compact"/>
              <w:jc w:val="left"/>
            </w:pPr>
            <w:r>
              <w:t xml:space="preserve">2 Units</w:t>
            </w:r>
          </w:p>
        </w:tc>
      </w:tr>
      <w:tr>
        <w:tc>
          <w:tcPr/>
          <w:p>
            <w:pPr>
              <w:pStyle w:val="Compact"/>
              <w:jc w:val="left"/>
            </w:pPr>
            <w:r>
              <w:t xml:space="preserve">Synthetic Brine</w:t>
            </w:r>
          </w:p>
        </w:tc>
        <w:tc>
          <w:tcPr/>
          <w:p>
            <w:pPr>
              <w:pStyle w:val="Compact"/>
              <w:jc w:val="left"/>
            </w:pPr>
            <w:r>
              <w:t xml:space="preserve">Matched to Gulf of Thailand reservoir salinity (approx. 150,000 ppm TDS)</w:t>
            </w:r>
          </w:p>
        </w:tc>
        <w:tc>
          <w:tcPr/>
          <w:p>
            <w:pPr>
              <w:pStyle w:val="Compact"/>
              <w:jc w:val="left"/>
            </w:pPr>
            <w:r>
              <w:t xml:space="preserve">50 Liters</w:t>
            </w:r>
          </w:p>
        </w:tc>
      </w:tr>
      <w:tr>
        <w:tc>
          <w:tcPr/>
          <w:p>
            <w:pPr>
              <w:pStyle w:val="Compact"/>
              <w:jc w:val="left"/>
            </w:pPr>
            <w:r>
              <w:t xml:space="preserve">Partially Hydrolyzed Polyacrylamide (HPAM)</w:t>
            </w:r>
          </w:p>
        </w:tc>
        <w:tc>
          <w:tcPr/>
          <w:p>
            <w:pPr>
              <w:pStyle w:val="Compact"/>
              <w:jc w:val="left"/>
            </w:pPr>
            <w:r>
              <w:t xml:space="preserve">Food grade, suitable for EOR</w:t>
            </w:r>
          </w:p>
        </w:tc>
        <w:tc>
          <w:tcPr/>
          <w:p>
            <w:pPr>
              <w:pStyle w:val="Compact"/>
              <w:jc w:val="left"/>
            </w:pPr>
            <w:r>
              <w:t xml:space="preserve">5 kg</w:t>
            </w:r>
          </w:p>
        </w:tc>
      </w:tr>
      <w:tr>
        <w:tc>
          <w:tcPr/>
          <w:p>
            <w:pPr>
              <w:pStyle w:val="Compact"/>
              <w:jc w:val="left"/>
            </w:pPr>
            <w:r>
              <w:t xml:space="preserve">Core Samples</w:t>
            </w:r>
          </w:p>
        </w:tc>
        <w:tc>
          <w:tcPr/>
          <w:p>
            <w:pPr>
              <w:pStyle w:val="Compact"/>
              <w:jc w:val="left"/>
            </w:pPr>
            <w:r>
              <w:t xml:space="preserve">Sandstone cores from Pattani Basin, 2.5 cm diameter, 10 cm length</w:t>
            </w:r>
          </w:p>
        </w:tc>
        <w:tc>
          <w:tcPr/>
          <w:p>
            <w:pPr>
              <w:pStyle w:val="Compact"/>
              <w:jc w:val="left"/>
            </w:pPr>
            <w:r>
              <w:t xml:space="preserve">10 Samples</w:t>
            </w:r>
          </w:p>
        </w:tc>
      </w:tr>
      <w:tr>
        <w:tc>
          <w:tcPr/>
          <w:p>
            <w:pPr>
              <w:pStyle w:val="Compact"/>
              <w:jc w:val="left"/>
            </w:pPr>
            <w:r>
              <w:t xml:space="preserve">Data Acquisition System</w:t>
            </w:r>
          </w:p>
        </w:tc>
        <w:tc>
          <w:tcPr/>
          <w:p>
            <w:pPr>
              <w:pStyle w:val="Compact"/>
              <w:jc w:val="left"/>
            </w:pPr>
            <w:r>
              <w:t xml:space="preserve">Real-time pressure and flow rate monitoring</w:t>
            </w:r>
          </w:p>
        </w:tc>
        <w:tc>
          <w:tcPr/>
          <w:p>
            <w:pPr>
              <w:pStyle w:val="Compact"/>
              <w:jc w:val="left"/>
            </w:pPr>
            <w:r>
              <w:t xml:space="preserve">1 System</w:t>
            </w:r>
          </w:p>
        </w:tc>
      </w:tr>
    </w:tbl>
    <w:bookmarkEnd w:id="24"/>
    <w:bookmarkStart w:id="31" w:name="experimental-procedure"/>
    <w:p>
      <w:pPr>
        <w:pStyle w:val="Heading2"/>
      </w:pPr>
      <w:r>
        <w:t xml:space="preserve">5. Experimental Procedure</w:t>
      </w:r>
    </w:p>
    <w:p>
      <w:pPr>
        <w:pStyle w:val="FirstParagraph"/>
      </w:pPr>
      <w:r>
        <w:t xml:space="preserve">The Petroleum Engineer must follow these steps sequentially:</w:t>
      </w:r>
    </w:p>
    <w:bookmarkStart w:id="25" w:name="core-sample-preparation"/>
    <w:p>
      <w:pPr>
        <w:pStyle w:val="Heading3"/>
      </w:pPr>
      <w:r>
        <w:t xml:space="preserve">5.1. Core Sample Preparation</w:t>
      </w:r>
    </w:p>
    <w:p>
      <w:pPr>
        <w:pStyle w:val="FirstParagraph"/>
      </w:pPr>
      <w:r>
        <w:t xml:space="preserve">Clean the sandstone cores using toluene and methanol to remove any residual hydrocarbons. Dry the samples in an oven at 60°C for 24 hours. This step is critical to ensure accurate permeability measurements, especially given the porous nature of Thai reservoir rocks.</w:t>
      </w:r>
    </w:p>
    <w:bookmarkEnd w:id="25"/>
    <w:bookmarkStart w:id="26" w:name="brine-saturation"/>
    <w:p>
      <w:pPr>
        <w:pStyle w:val="Heading3"/>
      </w:pPr>
      <w:r>
        <w:t xml:space="preserve">5.2. Brine Saturation</w:t>
      </w:r>
    </w:p>
    <w:p>
      <w:pPr>
        <w:pStyle w:val="FirstParagraph"/>
      </w:pPr>
      <w:r>
        <w:t xml:space="preserve">Saturate the cores with synthetic brine that mimics the high-salinity conditions of the Gulf of Thailand. Inject the brine at a constant rate of 1 mL/min until breakthrough is observed. Record the initial water saturation (Swi).</w:t>
      </w:r>
    </w:p>
    <w:bookmarkEnd w:id="26"/>
    <w:bookmarkStart w:id="27" w:name="oil-saturation"/>
    <w:p>
      <w:pPr>
        <w:pStyle w:val="Heading3"/>
      </w:pPr>
      <w:r>
        <w:t xml:space="preserve">5.3. Oil Saturation</w:t>
      </w:r>
    </w:p>
    <w:p>
      <w:pPr>
        <w:pStyle w:val="FirstParagraph"/>
      </w:pPr>
      <w:r>
        <w:t xml:space="preserve">Displace the brine with crude oil sourced from local Thai fields. Inject at a rate of 0.5 mL/min until no more water is produced. This establishes the initial oil saturation (Soi).</w:t>
      </w:r>
    </w:p>
    <w:bookmarkEnd w:id="27"/>
    <w:bookmarkStart w:id="28" w:name="polymer-solution-preparation"/>
    <w:p>
      <w:pPr>
        <w:pStyle w:val="Heading3"/>
      </w:pPr>
      <w:r>
        <w:t xml:space="preserve">5.4. Polymer Solution Preparation</w:t>
      </w:r>
    </w:p>
    <w:p>
      <w:pPr>
        <w:pStyle w:val="FirstParagraph"/>
      </w:pPr>
      <w:r>
        <w:t xml:space="preserve">Dissolve HPAM in the synthetic brine at a concentration of 1000 ppm. Allow the solution to age for 24 hours at room temperature (approx. 30°C in Bangkok) to ensure complete hydration. Filter the solution through a 5-micron filter to remove any undissolved particles.</w:t>
      </w:r>
    </w:p>
    <w:bookmarkEnd w:id="28"/>
    <w:bookmarkStart w:id="29" w:name="polymer-flooding"/>
    <w:p>
      <w:pPr>
        <w:pStyle w:val="Heading3"/>
      </w:pPr>
      <w:r>
        <w:t xml:space="preserve">5.5. Polymer Flooding</w:t>
      </w:r>
    </w:p>
    <w:p>
      <w:pPr>
        <w:pStyle w:val="FirstParagraph"/>
      </w:pPr>
      <w:r>
        <w:t xml:space="preserve">Inject the polymer solution into the core at a constant rate of 0.5 mL/min. Monitor the pressure drop across the core and the oil production rate. Continue injection until 2 pore volumes (PV) of polymer solution have been injected.</w:t>
      </w:r>
    </w:p>
    <w:bookmarkEnd w:id="29"/>
    <w:bookmarkStart w:id="30" w:name="data-analysis"/>
    <w:p>
      <w:pPr>
        <w:pStyle w:val="Heading3"/>
      </w:pPr>
      <w:r>
        <w:t xml:space="preserve">5.6. Data Analysis</w:t>
      </w:r>
    </w:p>
    <w:p>
      <w:pPr>
        <w:pStyle w:val="FirstParagraph"/>
      </w:pPr>
      <w:r>
        <w:t xml:space="preserve">Calculate the incremental oil recovery factor by comparing the oil produced during polymer flooding to the total original oil in place. Analyze the viscosity ratio and mobility control to determine the efficiency of the EOR process.</w:t>
      </w:r>
    </w:p>
    <w:bookmarkEnd w:id="30"/>
    <w:bookmarkEnd w:id="31"/>
    <w:bookmarkStart w:id="32" w:name="quality-control-and-assurance"/>
    <w:p>
      <w:pPr>
        <w:pStyle w:val="Heading2"/>
      </w:pPr>
      <w:r>
        <w:t xml:space="preserve">6. Quality Control and Assurance</w:t>
      </w:r>
    </w:p>
    <w:p>
      <w:pPr>
        <w:pStyle w:val="FirstParagraph"/>
      </w:pPr>
      <w:r>
        <w:t xml:space="preserve">To ensure the reliability of the results, the Petroleum Engineer must perform the following quality checks:</w:t>
      </w:r>
    </w:p>
    <w:p>
      <w:pPr>
        <w:numPr>
          <w:ilvl w:val="0"/>
          <w:numId w:val="1002"/>
        </w:numPr>
        <w:pStyle w:val="Compact"/>
      </w:pPr>
      <w:r>
        <w:t xml:space="preserve">Calibrate all pressure transducers and flow meters before each experiment.</w:t>
      </w:r>
    </w:p>
    <w:p>
      <w:pPr>
        <w:numPr>
          <w:ilvl w:val="0"/>
          <w:numId w:val="1002"/>
        </w:numPr>
        <w:pStyle w:val="Compact"/>
      </w:pPr>
      <w:r>
        <w:t xml:space="preserve">Verify the salinity and pH of the synthetic brine using a calibrated conductivity meter.</w:t>
      </w:r>
    </w:p>
    <w:p>
      <w:pPr>
        <w:numPr>
          <w:ilvl w:val="0"/>
          <w:numId w:val="1002"/>
        </w:numPr>
        <w:pStyle w:val="Compact"/>
      </w:pPr>
      <w:r>
        <w:t xml:space="preserve">Repeat each experiment at least three times to ensure reproducibility.</w:t>
      </w:r>
    </w:p>
    <w:bookmarkEnd w:id="32"/>
    <w:bookmarkStart w:id="33" w:name="reporting-and-documentation"/>
    <w:p>
      <w:pPr>
        <w:pStyle w:val="Heading2"/>
      </w:pPr>
      <w:r>
        <w:t xml:space="preserve">7. Reporting and Documentation</w:t>
      </w:r>
    </w:p>
    <w:p>
      <w:pPr>
        <w:pStyle w:val="FirstParagraph"/>
      </w:pPr>
      <w:r>
        <w:t xml:space="preserve">All data must be recorded in the laboratory's digital management system. The final report should include:</w:t>
      </w:r>
    </w:p>
    <w:p>
      <w:pPr>
        <w:numPr>
          <w:ilvl w:val="0"/>
          <w:numId w:val="1003"/>
        </w:numPr>
        <w:pStyle w:val="Compact"/>
      </w:pPr>
      <w:r>
        <w:t xml:space="preserve">Core sample properties (porosity, permeability).</w:t>
      </w:r>
    </w:p>
    <w:p>
      <w:pPr>
        <w:numPr>
          <w:ilvl w:val="0"/>
          <w:numId w:val="1003"/>
        </w:numPr>
        <w:pStyle w:val="Compact"/>
      </w:pPr>
      <w:r>
        <w:t xml:space="preserve">Fluid properties (viscosity, density).</w:t>
      </w:r>
    </w:p>
    <w:p>
      <w:pPr>
        <w:numPr>
          <w:ilvl w:val="0"/>
          <w:numId w:val="1003"/>
        </w:numPr>
        <w:pStyle w:val="Compact"/>
      </w:pPr>
      <w:r>
        <w:t xml:space="preserve">Pressure and production data plots.</w:t>
      </w:r>
    </w:p>
    <w:p>
      <w:pPr>
        <w:numPr>
          <w:ilvl w:val="0"/>
          <w:numId w:val="1003"/>
        </w:numPr>
        <w:pStyle w:val="Compact"/>
      </w:pPr>
      <w:r>
        <w:t xml:space="preserve">Calculated recovery factors and efficiency metrics.</w:t>
      </w:r>
    </w:p>
    <w:p>
      <w:pPr>
        <w:numPr>
          <w:ilvl w:val="0"/>
          <w:numId w:val="1003"/>
        </w:numPr>
        <w:pStyle w:val="Compact"/>
      </w:pPr>
      <w:r>
        <w:t xml:space="preserve">Recommendations for field application in Thai reservoirs.</w:t>
      </w:r>
    </w:p>
    <w:p>
      <w:pPr>
        <w:pStyle w:val="FirstParagraph"/>
      </w:pPr>
      <w:r>
        <w:t xml:space="preserve">This report must be submitted to the Department of Mineral Fuels within 30 days of experiment completion.</w:t>
      </w:r>
    </w:p>
    <w:bookmarkEnd w:id="33"/>
    <w:bookmarkStart w:id="34" w:name="conclusion"/>
    <w:p>
      <w:pPr>
        <w:pStyle w:val="Heading2"/>
      </w:pPr>
      <w:r>
        <w:t xml:space="preserve">8. Conclusion</w:t>
      </w:r>
    </w:p>
    <w:p>
      <w:pPr>
        <w:pStyle w:val="FirstParagraph"/>
      </w:pPr>
      <w:r>
        <w:t xml:space="preserve">This Experiment Protocol provides a comprehensive framework for conducting EOR simulations in Bangkok, Thailand. By adhering to these guidelines, Petroleum Engineers can ensure accurate, safe, and environmentally responsible research that contributes to the sustainable development of Thailand's petroleum resources.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 - Bangkok, Thailand</dc:title>
  <dc:creator/>
  <dc:language>en</dc:language>
  <cp:keywords/>
  <dcterms:created xsi:type="dcterms:W3CDTF">2026-10-10T02:31:47Z</dcterms:created>
  <dcterms:modified xsi:type="dcterms:W3CDTF">2026-10-10T02:31:47Z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