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Enhanced</w:t>
      </w:r>
      <w:r>
        <w:t xml:space="preserve"> </w:t>
      </w:r>
      <w:r>
        <w:t xml:space="preserve">Oil</w:t>
      </w:r>
      <w:r>
        <w:t xml:space="preserve"> </w:t>
      </w:r>
      <w:r>
        <w:t xml:space="preserve">Recovery</w:t>
      </w:r>
      <w:r>
        <w:t xml:space="preserve"> </w:t>
      </w:r>
      <w:r>
        <w:t xml:space="preserve">in</w:t>
      </w:r>
      <w:r>
        <w:t xml:space="preserve"> </w:t>
      </w:r>
      <w:r>
        <w:t xml:space="preserve">Carbonate</w:t>
      </w:r>
      <w:r>
        <w:t xml:space="preserve"> </w:t>
      </w:r>
      <w:r>
        <w:t xml:space="preserve">Reservoirs</w:t>
      </w:r>
    </w:p>
    <w:bookmarkStart w:id="20" w:name="Xe220bccaead4d200080960e29f845f389e79637"/>
    <w:p>
      <w:pPr>
        <w:pStyle w:val="Heading1"/>
      </w:pPr>
      <w:r>
        <w:t xml:space="preserve">Experiment Protocol: Enhanced Oil Recovery in Carbonate Reservoirs</w:t>
      </w:r>
    </w:p>
    <w:p>
      <w:pPr>
        <w:pStyle w:val="FirstParagraph"/>
      </w:pPr>
      <w:r>
        <w:rPr>
          <w:bCs/>
          <w:b/>
        </w:rPr>
        <w:t xml:space="preserve">Prepared by:</w:t>
      </w:r>
      <w:r>
        <w:t xml:space="preserve"> </w:t>
      </w:r>
      <w:r>
        <w:t xml:space="preserve">Petroleum Engineer, Department of Energy Resources</w:t>
      </w:r>
    </w:p>
    <w:p>
      <w:pPr>
        <w:pStyle w:val="BodyText"/>
      </w:pPr>
      <w:r>
        <w:rPr>
          <w:bCs/>
          <w:b/>
        </w:rPr>
        <w:t xml:space="preserve">Location:</w:t>
      </w:r>
      <w:r>
        <w:t xml:space="preserve"> </w:t>
      </w:r>
      <w:r>
        <w:t xml:space="preserve">United Kingdom Manchester, Academic Research Facility</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Experiment Protocol outlines the procedures for conducting a series of laboratory experiments aimed at evaluating the effectiveness of chemical enhanced oil recovery (EOR) methods in carbonate reservoirs. The study is being conducted by a team of Petroleum Engineers based in United Kingdom Manchester, leveraging the city's advanced research infrastructure and expertise in energy technologies. The primary objective is to optimize recovery factors from mature oil fields, contributing to sustainable energy practices and economic viability in the UK's offshore and onshore operations.</w:t>
      </w:r>
    </w:p>
    <w:bookmarkEnd w:id="21"/>
    <w:bookmarkStart w:id="22" w:name="objectives"/>
    <w:p>
      <w:pPr>
        <w:pStyle w:val="Heading2"/>
      </w:pPr>
      <w:r>
        <w:t xml:space="preserve">2. Objectives</w:t>
      </w:r>
    </w:p>
    <w:p>
      <w:pPr>
        <w:numPr>
          <w:ilvl w:val="0"/>
          <w:numId w:val="1001"/>
        </w:numPr>
        <w:pStyle w:val="Compact"/>
      </w:pPr>
      <w:r>
        <w:t xml:space="preserve">To assess the impact of surfactant-polymer flooding on oil displacement efficiency in carbonate rock samples.</w:t>
      </w:r>
    </w:p>
    <w:p>
      <w:pPr>
        <w:numPr>
          <w:ilvl w:val="0"/>
          <w:numId w:val="1001"/>
        </w:numPr>
        <w:pStyle w:val="Compact"/>
      </w:pPr>
      <w:r>
        <w:t xml:space="preserve">To determine the optimal concentration and combination of chemicals for maximum oil recovery.</w:t>
      </w:r>
    </w:p>
    <w:p>
      <w:pPr>
        <w:numPr>
          <w:ilvl w:val="0"/>
          <w:numId w:val="1001"/>
        </w:numPr>
        <w:pStyle w:val="Compact"/>
      </w:pPr>
      <w:r>
        <w:t xml:space="preserve">To analyze the interaction between injected fluids and reservoir rock under simulated field conditions.</w:t>
      </w:r>
    </w:p>
    <w:p>
      <w:pPr>
        <w:numPr>
          <w:ilvl w:val="0"/>
          <w:numId w:val="1001"/>
        </w:numPr>
        <w:pStyle w:val="Compact"/>
      </w:pPr>
      <w:r>
        <w:t xml:space="preserve">To provide data-driven recommendations for field-scale implementation in United Kingdom Manchester's affiliated oil fields.</w:t>
      </w:r>
    </w:p>
    <w:bookmarkEnd w:id="22"/>
    <w:bookmarkStart w:id="23" w:name="scope"/>
    <w:p>
      <w:pPr>
        <w:pStyle w:val="Heading2"/>
      </w:pPr>
      <w:r>
        <w:t xml:space="preserve">3. Scope</w:t>
      </w:r>
    </w:p>
    <w:p>
      <w:pPr>
        <w:pStyle w:val="FirstParagraph"/>
      </w:pPr>
      <w:r>
        <w:t xml:space="preserve">This protocol applies to all Petroleum Engineers, researchers, and technical staff involved in the experiment. It covers the preparation of rock samples, fluid formulation, core flooding procedures, data collection, and analysis. The experiments will be conducted in compliance with UK health and safety regulations, environmental standards, and ethical guidelines.</w:t>
      </w:r>
    </w:p>
    <w:bookmarkEnd w:id="23"/>
    <w:bookmarkStart w:id="24" w:name="materials-and-equipment"/>
    <w:p>
      <w:pPr>
        <w:pStyle w:val="Heading2"/>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Core samples</w:t>
            </w:r>
          </w:p>
        </w:tc>
        <w:tc>
          <w:tcPr/>
          <w:p>
            <w:pPr>
              <w:pStyle w:val="Compact"/>
              <w:jc w:val="left"/>
            </w:pPr>
            <w:r>
              <w:t xml:space="preserve">Carbonate rock, 2.5 cm diameter, 10 cm length</w:t>
            </w:r>
          </w:p>
        </w:tc>
        <w:tc>
          <w:tcPr/>
          <w:p>
            <w:pPr>
              <w:pStyle w:val="Compact"/>
              <w:jc w:val="left"/>
            </w:pPr>
            <w:r>
              <w:t xml:space="preserve">10</w:t>
            </w:r>
          </w:p>
        </w:tc>
      </w:tr>
      <w:tr>
        <w:tc>
          <w:tcPr/>
          <w:p>
            <w:pPr>
              <w:pStyle w:val="Compact"/>
              <w:jc w:val="left"/>
            </w:pPr>
            <w:r>
              <w:t xml:space="preserve">Surfactants</w:t>
            </w:r>
          </w:p>
        </w:tc>
        <w:tc>
          <w:tcPr/>
          <w:p>
            <w:pPr>
              <w:pStyle w:val="Compact"/>
              <w:jc w:val="left"/>
            </w:pPr>
            <w:r>
              <w:t xml:space="preserve">Non-ionic and anionic types</w:t>
            </w:r>
          </w:p>
        </w:tc>
        <w:tc>
          <w:tcPr/>
          <w:p>
            <w:pPr>
              <w:pStyle w:val="Compact"/>
              <w:jc w:val="left"/>
            </w:pPr>
            <w:r>
              <w:t xml:space="preserve">500 g each</w:t>
            </w:r>
          </w:p>
        </w:tc>
      </w:tr>
      <w:tr>
        <w:tc>
          <w:tcPr/>
          <w:p>
            <w:pPr>
              <w:pStyle w:val="Compact"/>
              <w:jc w:val="left"/>
            </w:pPr>
            <w:r>
              <w:t xml:space="preserve">Polymers</w:t>
            </w:r>
          </w:p>
        </w:tc>
        <w:tc>
          <w:tcPr/>
          <w:p>
            <w:pPr>
              <w:pStyle w:val="Compact"/>
              <w:jc w:val="left"/>
            </w:pPr>
            <w:r>
              <w:t xml:space="preserve">Partially hydrolyzed polyacrylamide (HPAM)</w:t>
            </w:r>
          </w:p>
        </w:tc>
        <w:tc>
          <w:tcPr/>
          <w:p>
            <w:pPr>
              <w:pStyle w:val="Compact"/>
              <w:jc w:val="left"/>
            </w:pPr>
            <w:r>
              <w:t xml:space="preserve">200 g</w:t>
            </w:r>
          </w:p>
        </w:tc>
      </w:tr>
      <w:tr>
        <w:tc>
          <w:tcPr/>
          <w:p>
            <w:pPr>
              <w:pStyle w:val="Compact"/>
              <w:jc w:val="left"/>
            </w:pPr>
            <w:r>
              <w:t xml:space="preserve">Core holder</w:t>
            </w:r>
          </w:p>
        </w:tc>
        <w:tc>
          <w:tcPr/>
          <w:p>
            <w:pPr>
              <w:pStyle w:val="Compact"/>
              <w:jc w:val="left"/>
            </w:pPr>
            <w:r>
              <w:t xml:space="preserve">High-pressure, temperature-controlled</w:t>
            </w:r>
          </w:p>
        </w:tc>
        <w:tc>
          <w:tcPr/>
          <w:p>
            <w:pPr>
              <w:pStyle w:val="Compact"/>
              <w:jc w:val="left"/>
            </w:pPr>
            <w:r>
              <w:t xml:space="preserve">2</w:t>
            </w:r>
          </w:p>
        </w:tc>
      </w:tr>
      <w:tr>
        <w:tc>
          <w:tcPr/>
          <w:p>
            <w:pPr>
              <w:pStyle w:val="Compact"/>
              <w:jc w:val="left"/>
            </w:pPr>
            <w:r>
              <w:t xml:space="preserve">Injection pumps</w:t>
            </w:r>
          </w:p>
        </w:tc>
        <w:tc>
          <w:tcPr/>
          <w:p>
            <w:pPr>
              <w:pStyle w:val="Compact"/>
              <w:jc w:val="left"/>
            </w:pPr>
            <w:r>
              <w:t xml:space="preserve">Reciprocating, precision flow control</w:t>
            </w:r>
          </w:p>
        </w:tc>
        <w:tc>
          <w:tcPr/>
          <w:p>
            <w:pPr>
              <w:pStyle w:val="Compact"/>
              <w:jc w:val="left"/>
            </w:pPr>
            <w:r>
              <w:t xml:space="preserve">4</w:t>
            </w:r>
          </w:p>
        </w:tc>
      </w:tr>
      <w:tr>
        <w:tc>
          <w:tcPr/>
          <w:p>
            <w:pPr>
              <w:pStyle w:val="Compact"/>
              <w:jc w:val="left"/>
            </w:pPr>
            <w:r>
              <w:t xml:space="preserve">Pressure transducers</w:t>
            </w:r>
          </w:p>
        </w:tc>
        <w:tc>
          <w:tcPr/>
          <w:p>
            <w:pPr>
              <w:pStyle w:val="Compact"/>
              <w:jc w:val="left"/>
            </w:pPr>
            <w:r>
              <w:t xml:space="preserve">0-10,000 psi range</w:t>
            </w:r>
          </w:p>
        </w:tc>
        <w:tc>
          <w:tcPr/>
          <w:p>
            <w:pPr>
              <w:pStyle w:val="Compact"/>
              <w:jc w:val="left"/>
            </w:pPr>
            <w:r>
              <w:t xml:space="preserve">4</w:t>
            </w:r>
          </w:p>
        </w:tc>
      </w:tr>
      <w:tr>
        <w:tc>
          <w:tcPr/>
          <w:p>
            <w:pPr>
              <w:pStyle w:val="Compact"/>
              <w:jc w:val="left"/>
            </w:pPr>
            <w:r>
              <w:t xml:space="preserve">Data acquisition system</w:t>
            </w:r>
          </w:p>
        </w:tc>
        <w:tc>
          <w:tcPr/>
          <w:p>
            <w:pPr>
              <w:pStyle w:val="Compact"/>
              <w:jc w:val="left"/>
            </w:pPr>
            <w:r>
              <w:t xml:space="preserve">Real-time monitoring software</w:t>
            </w:r>
          </w:p>
        </w:tc>
        <w:tc>
          <w:tcPr/>
          <w:p>
            <w:pPr>
              <w:pStyle w:val="Compact"/>
              <w:jc w:val="left"/>
            </w:pPr>
            <w:r>
              <w:t xml:space="preserve">1</w:t>
            </w:r>
          </w:p>
        </w:tc>
      </w:tr>
    </w:tbl>
    <w:bookmarkEnd w:id="24"/>
    <w:bookmarkStart w:id="28" w:name="experimental-procedure"/>
    <w:p>
      <w:pPr>
        <w:pStyle w:val="Heading2"/>
      </w:pPr>
      <w:r>
        <w:t xml:space="preserve">5. Experimental Procedure</w:t>
      </w:r>
    </w:p>
    <w:bookmarkStart w:id="25" w:name="sample-preparation"/>
    <w:p>
      <w:pPr>
        <w:pStyle w:val="Heading3"/>
      </w:pPr>
      <w:r>
        <w:t xml:space="preserve">5.1 Sample Preparation</w:t>
      </w:r>
    </w:p>
    <w:p>
      <w:pPr>
        <w:numPr>
          <w:ilvl w:val="0"/>
          <w:numId w:val="1002"/>
        </w:numPr>
        <w:pStyle w:val="Compact"/>
      </w:pPr>
      <w:r>
        <w:t xml:space="preserve">Obtain carbonate core samples from representative reservoir formations.</w:t>
      </w:r>
    </w:p>
    <w:p>
      <w:pPr>
        <w:numPr>
          <w:ilvl w:val="0"/>
          <w:numId w:val="1002"/>
        </w:numPr>
        <w:pStyle w:val="Compact"/>
      </w:pPr>
      <w:r>
        <w:t xml:space="preserve">Clean samples using toluene and methanol to remove residual hydrocarbons.</w:t>
      </w:r>
    </w:p>
    <w:p>
      <w:pPr>
        <w:numPr>
          <w:ilvl w:val="0"/>
          <w:numId w:val="1002"/>
        </w:numPr>
        <w:pStyle w:val="Compact"/>
      </w:pPr>
      <w:r>
        <w:t xml:space="preserve">Dry samples in an oven at 60°C for 24 hours.</w:t>
      </w:r>
    </w:p>
    <w:p>
      <w:pPr>
        <w:numPr>
          <w:ilvl w:val="0"/>
          <w:numId w:val="1002"/>
        </w:numPr>
        <w:pStyle w:val="Compact"/>
      </w:pPr>
      <w:r>
        <w:t xml:space="preserve">Saturate samples with brine matching reservoir salinity.</w:t>
      </w:r>
    </w:p>
    <w:bookmarkEnd w:id="25"/>
    <w:bookmarkStart w:id="26" w:name="fluid-formulation"/>
    <w:p>
      <w:pPr>
        <w:pStyle w:val="Heading3"/>
      </w:pPr>
      <w:r>
        <w:t xml:space="preserve">5.2 Fluid Formulation</w:t>
      </w:r>
    </w:p>
    <w:p>
      <w:pPr>
        <w:numPr>
          <w:ilvl w:val="0"/>
          <w:numId w:val="1003"/>
        </w:numPr>
        <w:pStyle w:val="Compact"/>
      </w:pPr>
      <w:r>
        <w:t xml:space="preserve">Prepare surfactant solutions at concentrations of 0.1%, 0.5%, and 1.0%.</w:t>
      </w:r>
    </w:p>
    <w:p>
      <w:pPr>
        <w:numPr>
          <w:ilvl w:val="0"/>
          <w:numId w:val="1003"/>
        </w:numPr>
        <w:pStyle w:val="Compact"/>
      </w:pPr>
      <w:r>
        <w:t xml:space="preserve">Prepare polymer solutions at concentrations of 500 ppm, 1000 ppm, and 1500 ppm.</w:t>
      </w:r>
    </w:p>
    <w:p>
      <w:pPr>
        <w:numPr>
          <w:ilvl w:val="0"/>
          <w:numId w:val="1003"/>
        </w:numPr>
        <w:pStyle w:val="Compact"/>
      </w:pPr>
      <w:r>
        <w:t xml:space="preserve">Mix surfactant and polymer solutions to create composite EOR fluids.</w:t>
      </w:r>
    </w:p>
    <w:p>
      <w:pPr>
        <w:numPr>
          <w:ilvl w:val="0"/>
          <w:numId w:val="1003"/>
        </w:numPr>
        <w:pStyle w:val="Compact"/>
      </w:pPr>
      <w:r>
        <w:t xml:space="preserve">Filter all solutions through 0.45-micron filters to remove particulates.</w:t>
      </w:r>
    </w:p>
    <w:bookmarkEnd w:id="26"/>
    <w:bookmarkStart w:id="27" w:name="core-flooding"/>
    <w:p>
      <w:pPr>
        <w:pStyle w:val="Heading3"/>
      </w:pPr>
      <w:r>
        <w:t xml:space="preserve">5.3 Core Flooding</w:t>
      </w:r>
    </w:p>
    <w:p>
      <w:pPr>
        <w:numPr>
          <w:ilvl w:val="0"/>
          <w:numId w:val="1004"/>
        </w:numPr>
        <w:pStyle w:val="Compact"/>
      </w:pPr>
      <w:r>
        <w:t xml:space="preserve">Place saturated core samples in the core holder.</w:t>
      </w:r>
    </w:p>
    <w:p>
      <w:pPr>
        <w:numPr>
          <w:ilvl w:val="0"/>
          <w:numId w:val="1004"/>
        </w:numPr>
        <w:pStyle w:val="Compact"/>
      </w:pPr>
      <w:r>
        <w:t xml:space="preserve">Apply confining pressure of 3,000 psi and pore pressure of 2,000 psi.</w:t>
      </w:r>
    </w:p>
    <w:p>
      <w:pPr>
        <w:numPr>
          <w:ilvl w:val="0"/>
          <w:numId w:val="1004"/>
        </w:numPr>
        <w:pStyle w:val="Compact"/>
      </w:pPr>
      <w:r>
        <w:t xml:space="preserve">Set temperature to 80°C to simulate reservoir conditions.</w:t>
      </w:r>
    </w:p>
    <w:p>
      <w:pPr>
        <w:numPr>
          <w:ilvl w:val="0"/>
          <w:numId w:val="1004"/>
        </w:numPr>
        <w:pStyle w:val="Compact"/>
      </w:pPr>
      <w:r>
        <w:t xml:space="preserve">Inject brine at a constant rate of 1 mL/min until breakthrough.</w:t>
      </w:r>
    </w:p>
    <w:p>
      <w:pPr>
        <w:numPr>
          <w:ilvl w:val="0"/>
          <w:numId w:val="1004"/>
        </w:numPr>
        <w:pStyle w:val="Compact"/>
      </w:pPr>
      <w:r>
        <w:t xml:space="preserve">Inject EOR fluid at the same rate until 2 pore volumes are injected.</w:t>
      </w:r>
    </w:p>
    <w:p>
      <w:pPr>
        <w:numPr>
          <w:ilvl w:val="0"/>
          <w:numId w:val="1004"/>
        </w:numPr>
        <w:pStyle w:val="Compact"/>
      </w:pPr>
      <w:r>
        <w:t xml:space="preserve">Follow with brine injection for another 2 pore volumes.</w:t>
      </w:r>
    </w:p>
    <w:p>
      <w:pPr>
        <w:numPr>
          <w:ilvl w:val="0"/>
          <w:numId w:val="1004"/>
        </w:numPr>
        <w:pStyle w:val="Compact"/>
      </w:pPr>
      <w:r>
        <w:t xml:space="preserve">Record pressure drop, effluent composition, and cumulative oil production.</w:t>
      </w:r>
    </w:p>
    <w:bookmarkEnd w:id="27"/>
    <w:bookmarkEnd w:id="28"/>
    <w:bookmarkStart w:id="29" w:name="data-collection-and-analysis"/>
    <w:p>
      <w:pPr>
        <w:pStyle w:val="Heading2"/>
      </w:pPr>
      <w:r>
        <w:t xml:space="preserve">6. Data Collection and Analysis</w:t>
      </w:r>
    </w:p>
    <w:p>
      <w:pPr>
        <w:pStyle w:val="FirstParagraph"/>
      </w:pPr>
      <w:r>
        <w:t xml:space="preserve">During the experiment, the following data will be collected:</w:t>
      </w:r>
    </w:p>
    <w:p>
      <w:pPr>
        <w:numPr>
          <w:ilvl w:val="0"/>
          <w:numId w:val="1005"/>
        </w:numPr>
        <w:pStyle w:val="Compact"/>
      </w:pPr>
      <w:r>
        <w:t xml:space="preserve">Pressure drop across the core sample.</w:t>
      </w:r>
    </w:p>
    <w:p>
      <w:pPr>
        <w:numPr>
          <w:ilvl w:val="0"/>
          <w:numId w:val="1005"/>
        </w:numPr>
        <w:pStyle w:val="Compact"/>
      </w:pPr>
      <w:r>
        <w:t xml:space="preserve">Volume and composition of effluent fluids.</w:t>
      </w:r>
    </w:p>
    <w:p>
      <w:pPr>
        <w:numPr>
          <w:ilvl w:val="0"/>
          <w:numId w:val="1005"/>
        </w:numPr>
        <w:pStyle w:val="Compact"/>
      </w:pPr>
      <w:r>
        <w:t xml:space="preserve">Cumulative oil recovery factor.</w:t>
      </w:r>
    </w:p>
    <w:p>
      <w:pPr>
        <w:numPr>
          <w:ilvl w:val="0"/>
          <w:numId w:val="1005"/>
        </w:numPr>
        <w:pStyle w:val="Compact"/>
      </w:pPr>
      <w:r>
        <w:t xml:space="preserve">Changes in core permeability and porosity.</w:t>
      </w:r>
    </w:p>
    <w:p>
      <w:pPr>
        <w:pStyle w:val="FirstParagraph"/>
      </w:pPr>
      <w:r>
        <w:t xml:space="preserve">Data will be analyzed using statistical methods to determine the significance of observed trends. The results will be compared with baseline water flooding data to evaluate the incremental oil recovery achieved by the EOR methods.</w:t>
      </w:r>
    </w:p>
    <w:bookmarkEnd w:id="29"/>
    <w:bookmarkStart w:id="30" w:name="health-and-safety"/>
    <w:p>
      <w:pPr>
        <w:pStyle w:val="Heading2"/>
      </w:pPr>
      <w:r>
        <w:t xml:space="preserve">7. Health and Safety</w:t>
      </w:r>
    </w:p>
    <w:p>
      <w:pPr>
        <w:pStyle w:val="FirstParagraph"/>
      </w:pPr>
      <w:r>
        <w:t xml:space="preserve">All personnel must adhere to the following safety measures:</w:t>
      </w:r>
    </w:p>
    <w:p>
      <w:pPr>
        <w:numPr>
          <w:ilvl w:val="0"/>
          <w:numId w:val="1006"/>
        </w:numPr>
        <w:pStyle w:val="Compact"/>
      </w:pPr>
      <w:r>
        <w:t xml:space="preserve">Wear appropriate personal protective equipment (PPE), including gloves, goggles, and lab coats.</w:t>
      </w:r>
    </w:p>
    <w:p>
      <w:pPr>
        <w:numPr>
          <w:ilvl w:val="0"/>
          <w:numId w:val="1006"/>
        </w:numPr>
        <w:pStyle w:val="Compact"/>
      </w:pPr>
      <w:r>
        <w:t xml:space="preserve">Handle chemicals in a fume hood to avoid inhalation of vapors.</w:t>
      </w:r>
    </w:p>
    <w:p>
      <w:pPr>
        <w:numPr>
          <w:ilvl w:val="0"/>
          <w:numId w:val="1006"/>
        </w:numPr>
        <w:pStyle w:val="Compact"/>
      </w:pPr>
      <w:r>
        <w:t xml:space="preserve">Ensure proper ventilation in the laboratory.</w:t>
      </w:r>
    </w:p>
    <w:p>
      <w:pPr>
        <w:numPr>
          <w:ilvl w:val="0"/>
          <w:numId w:val="1006"/>
        </w:numPr>
        <w:pStyle w:val="Compact"/>
      </w:pPr>
      <w:r>
        <w:t xml:space="preserve">Dispose of waste materials according to UK environmental regulations.</w:t>
      </w:r>
    </w:p>
    <w:p>
      <w:pPr>
        <w:numPr>
          <w:ilvl w:val="0"/>
          <w:numId w:val="1006"/>
        </w:numPr>
        <w:pStyle w:val="Compact"/>
      </w:pPr>
      <w:r>
        <w:t xml:space="preserve">Report any accidents or near-misses immediately to the supervisor.</w:t>
      </w:r>
    </w:p>
    <w:bookmarkEnd w:id="30"/>
    <w:bookmarkStart w:id="31" w:name="quality-assurance"/>
    <w:p>
      <w:pPr>
        <w:pStyle w:val="Heading2"/>
      </w:pPr>
      <w:r>
        <w:t xml:space="preserve">8. Quality Assurance</w:t>
      </w:r>
    </w:p>
    <w:p>
      <w:pPr>
        <w:pStyle w:val="FirstParagraph"/>
      </w:pPr>
      <w:r>
        <w:t xml:space="preserve">To ensure the reliability and reproducibility of the results, the following quality assurance measures will be implemented:</w:t>
      </w:r>
    </w:p>
    <w:p>
      <w:pPr>
        <w:numPr>
          <w:ilvl w:val="0"/>
          <w:numId w:val="1007"/>
        </w:numPr>
        <w:pStyle w:val="Compact"/>
      </w:pPr>
      <w:r>
        <w:t xml:space="preserve">Calibrate all equipment before each experiment.</w:t>
      </w:r>
    </w:p>
    <w:p>
      <w:pPr>
        <w:numPr>
          <w:ilvl w:val="0"/>
          <w:numId w:val="1007"/>
        </w:numPr>
        <w:pStyle w:val="Compact"/>
      </w:pPr>
      <w:r>
        <w:t xml:space="preserve">Conduct duplicate experiments for each condition.</w:t>
      </w:r>
    </w:p>
    <w:p>
      <w:pPr>
        <w:numPr>
          <w:ilvl w:val="0"/>
          <w:numId w:val="1007"/>
        </w:numPr>
        <w:pStyle w:val="Compact"/>
      </w:pPr>
      <w:r>
        <w:t xml:space="preserve">Maintain detailed records of all procedures and observations.</w:t>
      </w:r>
    </w:p>
    <w:p>
      <w:pPr>
        <w:numPr>
          <w:ilvl w:val="0"/>
          <w:numId w:val="1007"/>
        </w:numPr>
        <w:pStyle w:val="Compact"/>
      </w:pPr>
      <w:r>
        <w:t xml:space="preserve">Perform regular audits of the experimental process.</w:t>
      </w:r>
    </w:p>
    <w:bookmarkEnd w:id="31"/>
    <w:bookmarkStart w:id="32" w:name="conclusion"/>
    <w:p>
      <w:pPr>
        <w:pStyle w:val="Heading2"/>
      </w:pPr>
      <w:r>
        <w:t xml:space="preserve">9. Conclusion</w:t>
      </w:r>
    </w:p>
    <w:p>
      <w:pPr>
        <w:pStyle w:val="FirstParagraph"/>
      </w:pPr>
      <w:r>
        <w:t xml:space="preserve">This Experiment Protocol provides a comprehensive framework for conducting enhanced oil recovery experiments in carbonate reservoirs. By following these procedures, the Petroleum Engineer team in United Kingdom Manchester aims to generate valuable insights that can be applied to improve oil recovery in mature fields. The findings will contribute to the broader goals of energy security, economic efficiency, and environmental sustainability in the UK's petroleum industry.</w:t>
      </w:r>
    </w:p>
    <w:bookmarkEnd w:id="32"/>
    <w:bookmarkStart w:id="33" w:name="references"/>
    <w:p>
      <w:pPr>
        <w:pStyle w:val="Heading2"/>
      </w:pPr>
      <w:r>
        <w:t xml:space="preserve">10. References</w:t>
      </w:r>
    </w:p>
    <w:p>
      <w:pPr>
        <w:numPr>
          <w:ilvl w:val="0"/>
          <w:numId w:val="1008"/>
        </w:numPr>
        <w:pStyle w:val="Compact"/>
      </w:pPr>
      <w:r>
        <w:t xml:space="preserve">British Standards Institution. (2020). Health and Safety in Laboratories.</w:t>
      </w:r>
    </w:p>
    <w:p>
      <w:pPr>
        <w:numPr>
          <w:ilvl w:val="0"/>
          <w:numId w:val="1008"/>
        </w:numPr>
        <w:pStyle w:val="Compact"/>
      </w:pPr>
      <w:r>
        <w:t xml:space="preserve">Department for Business, Energy &amp; Industrial Strategy. (2021). UK Oil and Gas Industry Guidelines.</w:t>
      </w:r>
    </w:p>
    <w:p>
      <w:pPr>
        <w:numPr>
          <w:ilvl w:val="0"/>
          <w:numId w:val="1008"/>
        </w:numPr>
        <w:pStyle w:val="Compact"/>
      </w:pPr>
      <w:r>
        <w:t xml:space="preserve">Journal of Petroleum Science and Engineering. (2022). Advances in Chemical EOR Techniques.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Enhanced Oil Recovery in Carbonate Reservoirs</dc:title>
  <dc:creator/>
  <dc:language>en</dc:language>
  <cp:keywords/>
  <dcterms:created xsi:type="dcterms:W3CDTF">2026-10-10T08:00:12Z</dcterms:created>
  <dcterms:modified xsi:type="dcterms:W3CDTF">2026-10-10T08:00:12Z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