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Shallow</w:t>
      </w:r>
      <w:r>
        <w:t xml:space="preserve"> </w:t>
      </w:r>
      <w:r>
        <w:t xml:space="preserve">Basin</w:t>
      </w:r>
      <w:r>
        <w:t xml:space="preserve"> </w:t>
      </w:r>
      <w:r>
        <w:t xml:space="preserve">Reservoirs</w:t>
      </w:r>
    </w:p>
    <w:bookmarkStart w:id="20" w:name="X94b5f5d1fca71fd320587712466dc67ffae2c2d"/>
    <w:p>
      <w:pPr>
        <w:pStyle w:val="Heading1"/>
      </w:pPr>
      <w:r>
        <w:t xml:space="preserve">Experiment Protocol: Enhanced Oil Recovery (EOR) in Shallow Basin Reservoirs</w:t>
      </w:r>
    </w:p>
    <w:p>
      <w:pPr>
        <w:pStyle w:val="FirstParagraph"/>
      </w:pPr>
      <w:r>
        <w:rPr>
          <w:bCs/>
          <w:b/>
        </w:rPr>
        <w:t xml:space="preserve">Location:</w:t>
      </w:r>
      <w:r>
        <w:t xml:space="preserve"> </w:t>
      </w:r>
      <w:r>
        <w:t xml:space="preserve">Los Angeles Basin, United States</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LA-EOR-2024-001</w:t>
      </w:r>
    </w:p>
    <w:p>
      <w:pPr>
        <w:pStyle w:val="BodyText"/>
      </w:pPr>
      <w:r>
        <w:rPr>
          <w:bCs/>
          <w:b/>
        </w:rPr>
        <w:t xml:space="preserve">Date:</w:t>
      </w:r>
      <w:r>
        <w:t xml:space="preserve"> </w:t>
      </w:r>
      <w:r>
        <w:t xml:space="preserve">October 26, 2023</w:t>
      </w:r>
    </w:p>
    <w:bookmarkEnd w:id="20"/>
    <w:bookmarkStart w:id="21" w:name="objective"/>
    <w:p>
      <w:pPr>
        <w:pStyle w:val="Heading2"/>
      </w:pPr>
      <w:r>
        <w:t xml:space="preserve">1. Objective</w:t>
      </w:r>
    </w:p>
    <w:p>
      <w:pPr>
        <w:pStyle w:val="FirstParagraph"/>
      </w:pPr>
      <w:r>
        <w:t xml:space="preserve">This Experiment Protocol outlines the procedures for conducting a controlled Enhanced Oil Recovery (EOR) pilot test in a mature oil field located within the Los Angeles Basin, United States. The primary objective is to evaluate the efficacy of low-salinity water flooding in improving oil displacement efficiency in heterogeneous sandstone reservoirs typical of the region. This protocol is designed for Petroleum Engineers to ensure operational safety, regulatory compliance, and data integrity.</w:t>
      </w:r>
    </w:p>
    <w:bookmarkEnd w:id="21"/>
    <w:bookmarkStart w:id="22" w:name="scope-and-context"/>
    <w:p>
      <w:pPr>
        <w:pStyle w:val="Heading2"/>
      </w:pPr>
      <w:r>
        <w:t xml:space="preserve">2. Scope and Context</w:t>
      </w:r>
    </w:p>
    <w:p>
      <w:pPr>
        <w:pStyle w:val="FirstParagraph"/>
      </w:pPr>
      <w:r>
        <w:t xml:space="preserve">The Los Angeles Basin presents unique geological and regulatory challenges for Petroleum Engineers. This experiment will be conducted in a shallow reservoir (depth: 1,500–2,500 feet) with high heterogeneity and significant faulting. The protocol adheres to the regulations set by the California State Lands Commission (CSLC) and the California Department of Conservation (DOC). The experiment aims to optimize recovery rates while minimizing environmental impact in a densely populated urban area.</w:t>
      </w:r>
    </w:p>
    <w:bookmarkEnd w:id="22"/>
    <w:bookmarkStart w:id="23" w:name="safety-and-regulatory-compliance"/>
    <w:p>
      <w:pPr>
        <w:pStyle w:val="Heading2"/>
      </w:pPr>
      <w:r>
        <w:t xml:space="preserve">3. Safety and Regulatory Compliance</w:t>
      </w:r>
    </w:p>
    <w:p>
      <w:pPr>
        <w:pStyle w:val="FirstParagraph"/>
      </w:pPr>
      <w:r>
        <w:t xml:space="preserve">All personnel involved in this experiment must adhere to the following safety and regulatory standards:</w:t>
      </w:r>
    </w:p>
    <w:p>
      <w:pPr>
        <w:numPr>
          <w:ilvl w:val="0"/>
          <w:numId w:val="1001"/>
        </w:numPr>
        <w:pStyle w:val="Compact"/>
      </w:pPr>
      <w:r>
        <w:t xml:space="preserve">Compliance with OSHA (Occupational Safety and Health Administration) standards.</w:t>
      </w:r>
    </w:p>
    <w:p>
      <w:pPr>
        <w:numPr>
          <w:ilvl w:val="0"/>
          <w:numId w:val="1001"/>
        </w:numPr>
        <w:pStyle w:val="Compact"/>
      </w:pPr>
      <w:r>
        <w:t xml:space="preserve">Adherence to CSLC well drilling and operation regulations.</w:t>
      </w:r>
    </w:p>
    <w:p>
      <w:pPr>
        <w:numPr>
          <w:ilvl w:val="0"/>
          <w:numId w:val="1001"/>
        </w:numPr>
        <w:pStyle w:val="Compact"/>
      </w:pPr>
      <w:r>
        <w:t xml:space="preserve">Implementation of spill prevention and response plans as required by the Los Angeles County Fire Department.</w:t>
      </w:r>
    </w:p>
    <w:p>
      <w:pPr>
        <w:numPr>
          <w:ilvl w:val="0"/>
          <w:numId w:val="1001"/>
        </w:numPr>
        <w:pStyle w:val="Compact"/>
      </w:pPr>
      <w:r>
        <w:t xml:space="preserve">Use of personal protective equipment (PPE) including hard hats, safety glasses, steel-toed boots, and chemical-resistant gloves.</w:t>
      </w:r>
    </w:p>
    <w:p>
      <w:pPr>
        <w:pStyle w:val="FirstParagraph"/>
      </w:pPr>
      <w:r>
        <w:rPr>
          <w:bCs/>
          <w:b/>
        </w:rPr>
        <w:t xml:space="preserve">Warning:</w:t>
      </w:r>
      <w:r>
        <w:t xml:space="preserve"> </w:t>
      </w:r>
      <w:r>
        <w:t xml:space="preserve">Failure to comply with safety protocols may result in immediate suspension of the experiment and legal penalties.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Low-Salinity Water</w:t>
            </w:r>
          </w:p>
        </w:tc>
        <w:tc>
          <w:tcPr/>
          <w:p>
            <w:pPr>
              <w:pStyle w:val="Compact"/>
              <w:jc w:val="left"/>
            </w:pPr>
            <w:r>
              <w:t xml:space="preserve">Brackish water with TDS &lt; 5,000 ppm</w:t>
            </w:r>
          </w:p>
        </w:tc>
        <w:tc>
          <w:tcPr/>
          <w:p>
            <w:pPr>
              <w:pStyle w:val="Compact"/>
              <w:jc w:val="left"/>
            </w:pPr>
            <w:r>
              <w:t xml:space="preserve">500,000 barrels</w:t>
            </w:r>
          </w:p>
        </w:tc>
      </w:tr>
      <w:tr>
        <w:tc>
          <w:tcPr/>
          <w:p>
            <w:pPr>
              <w:pStyle w:val="Compact"/>
              <w:jc w:val="left"/>
            </w:pPr>
            <w:r>
              <w:t xml:space="preserve">Injection Wells</w:t>
            </w:r>
          </w:p>
        </w:tc>
        <w:tc>
          <w:tcPr/>
          <w:p>
            <w:pPr>
              <w:pStyle w:val="Compact"/>
              <w:jc w:val="left"/>
            </w:pPr>
            <w:r>
              <w:t xml:space="preserve">Existing wells retrofitted for injection</w:t>
            </w:r>
          </w:p>
        </w:tc>
        <w:tc>
          <w:tcPr/>
          <w:p>
            <w:pPr>
              <w:pStyle w:val="Compact"/>
              <w:jc w:val="left"/>
            </w:pPr>
            <w:r>
              <w:t xml:space="preserve">3</w:t>
            </w:r>
          </w:p>
        </w:tc>
      </w:tr>
      <w:tr>
        <w:tc>
          <w:tcPr/>
          <w:p>
            <w:pPr>
              <w:pStyle w:val="Compact"/>
              <w:jc w:val="left"/>
            </w:pPr>
            <w:r>
              <w:t xml:space="preserve">Production Wells</w:t>
            </w:r>
          </w:p>
        </w:tc>
        <w:tc>
          <w:tcPr/>
          <w:p>
            <w:pPr>
              <w:pStyle w:val="Compact"/>
              <w:jc w:val="left"/>
            </w:pPr>
            <w:r>
              <w:t xml:space="preserve">Existing wells for monitoring output</w:t>
            </w:r>
          </w:p>
        </w:tc>
        <w:tc>
          <w:tcPr/>
          <w:p>
            <w:pPr>
              <w:pStyle w:val="Compact"/>
              <w:jc w:val="left"/>
            </w:pPr>
            <w:r>
              <w:t xml:space="preserve">6</w:t>
            </w:r>
          </w:p>
        </w:tc>
      </w:tr>
      <w:tr>
        <w:tc>
          <w:tcPr/>
          <w:p>
            <w:pPr>
              <w:pStyle w:val="Compact"/>
              <w:jc w:val="left"/>
            </w:pPr>
            <w:r>
              <w:t xml:space="preserve">Pressure Gauges</w:t>
            </w:r>
          </w:p>
        </w:tc>
        <w:tc>
          <w:tcPr/>
          <w:p>
            <w:pPr>
              <w:pStyle w:val="Compact"/>
              <w:jc w:val="left"/>
            </w:pPr>
            <w:r>
              <w:t xml:space="preserve">High-precision, calibrated</w:t>
            </w:r>
          </w:p>
        </w:tc>
        <w:tc>
          <w:tcPr/>
          <w:p>
            <w:pPr>
              <w:pStyle w:val="Compact"/>
              <w:jc w:val="left"/>
            </w:pPr>
            <w:r>
              <w:t xml:space="preserve">12</w:t>
            </w:r>
          </w:p>
        </w:tc>
      </w:tr>
      <w:tr>
        <w:tc>
          <w:tcPr/>
          <w:p>
            <w:pPr>
              <w:pStyle w:val="Compact"/>
              <w:jc w:val="left"/>
            </w:pPr>
            <w:r>
              <w:t xml:space="preserve">Flow Meters</w:t>
            </w:r>
          </w:p>
        </w:tc>
        <w:tc>
          <w:tcPr/>
          <w:p>
            <w:pPr>
              <w:pStyle w:val="Compact"/>
              <w:jc w:val="left"/>
            </w:pPr>
            <w:r>
              <w:t xml:space="preserve">Coriolis type for accurate measurement</w:t>
            </w:r>
          </w:p>
        </w:tc>
        <w:tc>
          <w:tcPr/>
          <w:p>
            <w:pPr>
              <w:pStyle w:val="Compact"/>
              <w:jc w:val="left"/>
            </w:pPr>
            <w:r>
              <w:t xml:space="preserve">9</w:t>
            </w:r>
          </w:p>
        </w:tc>
      </w:tr>
      <w:tr>
        <w:tc>
          <w:tcPr/>
          <w:p>
            <w:pPr>
              <w:pStyle w:val="Compact"/>
              <w:jc w:val="left"/>
            </w:pPr>
            <w:r>
              <w:t xml:space="preserve">Sampling Kits</w:t>
            </w:r>
          </w:p>
        </w:tc>
        <w:tc>
          <w:tcPr/>
          <w:p>
            <w:pPr>
              <w:pStyle w:val="Compact"/>
              <w:jc w:val="left"/>
            </w:pPr>
            <w:r>
              <w:t xml:space="preserve">For fluid and core samples</w:t>
            </w:r>
          </w:p>
        </w:tc>
        <w:tc>
          <w:tcPr/>
          <w:p>
            <w:pPr>
              <w:pStyle w:val="Compact"/>
              <w:jc w:val="left"/>
            </w:pPr>
            <w:r>
              <w:t xml:space="preserve">50</w:t>
            </w:r>
          </w:p>
        </w:tc>
      </w:tr>
    </w:tbl>
    <w:bookmarkEnd w:id="24"/>
    <w:bookmarkStart w:id="29" w:name="procedure"/>
    <w:p>
      <w:pPr>
        <w:pStyle w:val="Heading2"/>
      </w:pPr>
      <w:r>
        <w:t xml:space="preserve">5. Procedure</w:t>
      </w:r>
    </w:p>
    <w:bookmarkStart w:id="25" w:name="pre-experiment-preparation"/>
    <w:p>
      <w:pPr>
        <w:pStyle w:val="Heading3"/>
      </w:pPr>
      <w:r>
        <w:t xml:space="preserve">5.1 Pre-Experiment Preparation</w:t>
      </w:r>
    </w:p>
    <w:p>
      <w:pPr>
        <w:numPr>
          <w:ilvl w:val="0"/>
          <w:numId w:val="1002"/>
        </w:numPr>
        <w:pStyle w:val="Compact"/>
      </w:pPr>
      <w:r>
        <w:t xml:space="preserve">Conduct a thorough review of existing well logs and reservoir models to identify optimal injection and production well pairs.</w:t>
      </w:r>
    </w:p>
    <w:p>
      <w:pPr>
        <w:numPr>
          <w:ilvl w:val="0"/>
          <w:numId w:val="1002"/>
        </w:numPr>
        <w:pStyle w:val="Compact"/>
      </w:pPr>
      <w:r>
        <w:t xml:space="preserve">Perform well integrity tests on all selected wells to ensure no leaks or structural issues.</w:t>
      </w:r>
    </w:p>
    <w:p>
      <w:pPr>
        <w:numPr>
          <w:ilvl w:val="0"/>
          <w:numId w:val="1002"/>
        </w:numPr>
        <w:pStyle w:val="Compact"/>
      </w:pPr>
      <w:r>
        <w:t xml:space="preserve">Calibrate all monitoring equipment and establish baseline measurements for pressure, temperature, and fluid composition.</w:t>
      </w:r>
    </w:p>
    <w:p>
      <w:pPr>
        <w:numPr>
          <w:ilvl w:val="0"/>
          <w:numId w:val="1002"/>
        </w:numPr>
        <w:pStyle w:val="Compact"/>
      </w:pPr>
      <w:r>
        <w:t xml:space="preserve">Obtain all necessary permits from the CSLC and local authorities in Los Angeles.</w:t>
      </w:r>
    </w:p>
    <w:bookmarkEnd w:id="25"/>
    <w:bookmarkStart w:id="26" w:name="injection-phase"/>
    <w:p>
      <w:pPr>
        <w:pStyle w:val="Heading3"/>
      </w:pPr>
      <w:r>
        <w:t xml:space="preserve">5.2 Injection Phase</w:t>
      </w:r>
    </w:p>
    <w:p>
      <w:pPr>
        <w:numPr>
          <w:ilvl w:val="0"/>
          <w:numId w:val="1003"/>
        </w:numPr>
        <w:pStyle w:val="Compact"/>
      </w:pPr>
      <w:r>
        <w:t xml:space="preserve">Begin injecting low-salinity water into the designated injection wells at a controlled rate of 500 barrels per day.</w:t>
      </w:r>
    </w:p>
    <w:p>
      <w:pPr>
        <w:numPr>
          <w:ilvl w:val="0"/>
          <w:numId w:val="1003"/>
        </w:numPr>
        <w:pStyle w:val="Compact"/>
      </w:pPr>
      <w:r>
        <w:t xml:space="preserve">Monitor injection pressure continuously to ensure it remains within safe limits and does not exceed the fracture pressure of the reservoir.</w:t>
      </w:r>
    </w:p>
    <w:p>
      <w:pPr>
        <w:numPr>
          <w:ilvl w:val="0"/>
          <w:numId w:val="1003"/>
        </w:numPr>
        <w:pStyle w:val="Compact"/>
      </w:pPr>
      <w:r>
        <w:t xml:space="preserve">Collect fluid samples from injection wells weekly to verify water quality and salinity levels.</w:t>
      </w:r>
    </w:p>
    <w:bookmarkEnd w:id="26"/>
    <w:bookmarkStart w:id="27" w:name="production-and-monitoring-phase"/>
    <w:p>
      <w:pPr>
        <w:pStyle w:val="Heading3"/>
      </w:pPr>
      <w:r>
        <w:t xml:space="preserve">5.3 Production and Monitoring Phase</w:t>
      </w:r>
    </w:p>
    <w:p>
      <w:pPr>
        <w:numPr>
          <w:ilvl w:val="0"/>
          <w:numId w:val="1004"/>
        </w:numPr>
        <w:pStyle w:val="Compact"/>
      </w:pPr>
      <w:r>
        <w:t xml:space="preserve">Monitor production rates from the designated production wells daily.</w:t>
      </w:r>
    </w:p>
    <w:p>
      <w:pPr>
        <w:numPr>
          <w:ilvl w:val="0"/>
          <w:numId w:val="1004"/>
        </w:numPr>
        <w:pStyle w:val="Compact"/>
      </w:pPr>
      <w:r>
        <w:t xml:space="preserve">Record pressure and temperature data at regular intervals using downhole gauges.</w:t>
      </w:r>
    </w:p>
    <w:p>
      <w:pPr>
        <w:numPr>
          <w:ilvl w:val="0"/>
          <w:numId w:val="1004"/>
        </w:numPr>
        <w:pStyle w:val="Compact"/>
      </w:pPr>
      <w:r>
        <w:t xml:space="preserve">Collect produced fluid samples bi-weekly for analysis of oil-water ratio, salinity, and chemical composition.</w:t>
      </w:r>
    </w:p>
    <w:p>
      <w:pPr>
        <w:numPr>
          <w:ilvl w:val="0"/>
          <w:numId w:val="1004"/>
        </w:numPr>
        <w:pStyle w:val="Compact"/>
      </w:pPr>
      <w:r>
        <w:t xml:space="preserve">Conduct seismic surveys at the beginning, midpoint, and end of the experiment to monitor reservoir changes.</w:t>
      </w:r>
    </w:p>
    <w:bookmarkEnd w:id="27"/>
    <w:bookmarkStart w:id="28" w:name="post-experiment-analysis"/>
    <w:p>
      <w:pPr>
        <w:pStyle w:val="Heading3"/>
      </w:pPr>
      <w:r>
        <w:t xml:space="preserve">5.4 Post-Experiment Analysis</w:t>
      </w:r>
    </w:p>
    <w:p>
      <w:pPr>
        <w:numPr>
          <w:ilvl w:val="0"/>
          <w:numId w:val="1005"/>
        </w:numPr>
        <w:pStyle w:val="Compact"/>
      </w:pPr>
      <w:r>
        <w:t xml:space="preserve">Compile all data collected during the experiment, including production rates, pressure data, and fluid samples.</w:t>
      </w:r>
    </w:p>
    <w:p>
      <w:pPr>
        <w:numPr>
          <w:ilvl w:val="0"/>
          <w:numId w:val="1005"/>
        </w:numPr>
        <w:pStyle w:val="Compact"/>
      </w:pPr>
      <w:r>
        <w:t xml:space="preserve">Compare the results with baseline measurements and historical data to assess the effectiveness of the low-salinity water flooding.</w:t>
      </w:r>
    </w:p>
    <w:p>
      <w:pPr>
        <w:numPr>
          <w:ilvl w:val="0"/>
          <w:numId w:val="1005"/>
        </w:numPr>
        <w:pStyle w:val="Compact"/>
      </w:pPr>
      <w:r>
        <w:t xml:space="preserve">Prepare a detailed report summarizing the findings, including any operational challenges and recommendations for future EOR projects in the Los Angeles Basin.</w:t>
      </w:r>
    </w:p>
    <w:bookmarkEnd w:id="28"/>
    <w:bookmarkEnd w:id="29"/>
    <w:bookmarkStart w:id="30" w:name="data-management"/>
    <w:p>
      <w:pPr>
        <w:pStyle w:val="Heading2"/>
      </w:pPr>
      <w:r>
        <w:t xml:space="preserve">6. Data Management</w:t>
      </w:r>
    </w:p>
    <w:p>
      <w:pPr>
        <w:pStyle w:val="FirstParagraph"/>
      </w:pPr>
      <w:r>
        <w:t xml:space="preserve">All data collected during the experiment will be stored in a secure, centralized database accessible only to authorized Petroleum Engineers. Data will be backed up daily and retained for a minimum of five years in accordance with industry standards and regulatory requirements.</w:t>
      </w:r>
    </w:p>
    <w:bookmarkEnd w:id="30"/>
    <w:bookmarkStart w:id="31" w:name="environmental-considerations"/>
    <w:p>
      <w:pPr>
        <w:pStyle w:val="Heading2"/>
      </w:pPr>
      <w:r>
        <w:t xml:space="preserve">7. Environmental Considerations</w:t>
      </w:r>
    </w:p>
    <w:p>
      <w:pPr>
        <w:pStyle w:val="FirstParagraph"/>
      </w:pPr>
      <w:r>
        <w:t xml:space="preserve">Given the urban setting of Los Angeles, special attention will be paid to minimizing the environmental impact of the experiment. This includes:</w:t>
      </w:r>
    </w:p>
    <w:p>
      <w:pPr>
        <w:numPr>
          <w:ilvl w:val="0"/>
          <w:numId w:val="1006"/>
        </w:numPr>
        <w:pStyle w:val="Compact"/>
      </w:pPr>
      <w:r>
        <w:t xml:space="preserve">Implementing strict spill prevention measures.</w:t>
      </w:r>
    </w:p>
    <w:p>
      <w:pPr>
        <w:numPr>
          <w:ilvl w:val="0"/>
          <w:numId w:val="1006"/>
        </w:numPr>
        <w:pStyle w:val="Compact"/>
      </w:pPr>
      <w:r>
        <w:t xml:space="preserve">Monitoring groundwater quality to ensure no contamination occurs.</w:t>
      </w:r>
    </w:p>
    <w:p>
      <w:pPr>
        <w:numPr>
          <w:ilvl w:val="0"/>
          <w:numId w:val="1006"/>
        </w:numPr>
        <w:pStyle w:val="Compact"/>
      </w:pPr>
      <w:r>
        <w:t xml:space="preserve">Using noise-reduction techniques during operations to minimize disturbance to nearby communities.</w:t>
      </w:r>
    </w:p>
    <w:bookmarkEnd w:id="31"/>
    <w:bookmarkStart w:id="32" w:name="conclusion"/>
    <w:p>
      <w:pPr>
        <w:pStyle w:val="Heading2"/>
      </w:pPr>
      <w:r>
        <w:t xml:space="preserve">8. Conclusion</w:t>
      </w:r>
    </w:p>
    <w:p>
      <w:pPr>
        <w:pStyle w:val="FirstParagraph"/>
      </w:pPr>
      <w:r>
        <w:t xml:space="preserve">This Experiment Protocol provides a comprehensive framework for conducting a low-salinity water flooding EOR pilot test in the Los Angeles Basin. By following these procedures, Petroleum Engineers can ensure the safe, efficient, and compliant execution of the experiment, contributing to the optimization of oil recovery in mature fields while addressing the unique challenges of operating in an urban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Shallow Basin Reservoirs</dc:title>
  <dc:creator/>
  <dc:language>en</dc:language>
  <cp:keywords/>
  <dcterms:created xsi:type="dcterms:W3CDTF">2026-10-10T08:38:17Z</dcterms:created>
  <dcterms:modified xsi:type="dcterms:W3CDTF">2026-10-10T08:38:17Z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