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Subsurface</w:t>
      </w:r>
      <w:r>
        <w:t xml:space="preserve"> </w:t>
      </w:r>
      <w:r>
        <w:t xml:space="preserve">Reservoir</w:t>
      </w:r>
      <w:r>
        <w:t xml:space="preserve"> </w:t>
      </w:r>
      <w:r>
        <w:t xml:space="preserve">Characterization</w:t>
      </w:r>
      <w:r>
        <w:t xml:space="preserve"> </w:t>
      </w:r>
      <w:r>
        <w:t xml:space="preserve">and</w:t>
      </w:r>
      <w:r>
        <w:t xml:space="preserve"> </w:t>
      </w:r>
      <w:r>
        <w:t xml:space="preserve">Enhanced</w:t>
      </w:r>
      <w:r>
        <w:t xml:space="preserve"> </w:t>
      </w:r>
      <w:r>
        <w:t xml:space="preserve">Recovery</w:t>
      </w:r>
      <w:r>
        <w:t xml:space="preserve"> </w:t>
      </w:r>
      <w:r>
        <w:t xml:space="preserve">Simulation</w:t>
      </w:r>
    </w:p>
    <w:bookmarkStart w:id="20" w:name="Xfe3dadbb958e1c23cc7a6b9a907ca5f951f7b55"/>
    <w:p>
      <w:pPr>
        <w:pStyle w:val="Heading1"/>
      </w:pPr>
      <w:r>
        <w:t xml:space="preserve">Experiment Protocol: Subsurface Reservoir Characterization and Enhanced Recovery Simulation</w:t>
      </w:r>
    </w:p>
    <w:p>
      <w:pPr>
        <w:pStyle w:val="FirstParagraph"/>
      </w:pPr>
      <w:r>
        <w:rPr>
          <w:bCs/>
          <w:b/>
        </w:rPr>
        <w:t xml:space="preserve">Location:</w:t>
      </w:r>
      <w:r>
        <w:t xml:space="preserve"> </w:t>
      </w:r>
      <w:r>
        <w:t xml:space="preserve">Miami, Florida, United States</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PE-MIA-2023-045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advanced reservoir characterization and enhanced oil recovery (EOR) simulations tailored to the geological conditions prevalent in the offshore regions surrounding Miami, Florida, United States. The primary objective is to evaluate the feasibility of implementing CO2-based enhanced recovery techniques in carbonate reservoirs typical of the Florida Platform. This protocol is designed for use by Petroleum Engineers operating within the regulatory framework of the United States, specifically adhering to the guidelines set by the Bureau of Safety and Environmental Enforcement (BSEE) and the Environmental Protection Agency (EPA).</w:t>
      </w:r>
    </w:p>
    <w:p>
      <w:pPr>
        <w:pStyle w:val="BodyText"/>
      </w:pPr>
      <w:r>
        <w:t xml:space="preserve">The experiment aims to simulate the interaction between injected CO2 and reservoir fluids under high-pressure, high-temperature (HPHT) conditions, which are characteristic of deepwater environments off the coast of Miami. By understanding these interactions, we can optimize recovery rates while minimizing environmental impact.</w:t>
      </w:r>
    </w:p>
    <w:bookmarkEnd w:id="21"/>
    <w:bookmarkStart w:id="22" w:name="scope-and-applicability"/>
    <w:p>
      <w:pPr>
        <w:pStyle w:val="Heading2"/>
      </w:pPr>
      <w:r>
        <w:t xml:space="preserve">2. Scope and Applicability</w:t>
      </w:r>
    </w:p>
    <w:p>
      <w:pPr>
        <w:pStyle w:val="FirstParagraph"/>
      </w:pPr>
      <w:r>
        <w:t xml:space="preserve">This protocol applies to all Petroleum Engineers involved in the planning, execution, and analysis of reservoir simulation experiments conducted in laboratories located in Miami, Florida. It covers the preparation of core samples, the setup of simulation equipment, data collection, and the interpretation of results. The scope includes both onshore laboratory facilities and offshore testing platforms within the jurisdiction of the United States.</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rock cores from offshore Miami wells</w:t>
            </w:r>
          </w:p>
        </w:tc>
        <w:tc>
          <w:tcPr/>
          <w:p>
            <w:pPr>
              <w:pStyle w:val="Compact"/>
              <w:jc w:val="left"/>
            </w:pPr>
            <w:r>
              <w:t xml:space="preserve">10</w:t>
            </w:r>
          </w:p>
        </w:tc>
      </w:tr>
      <w:tr>
        <w:tc>
          <w:tcPr/>
          <w:p>
            <w:pPr>
              <w:pStyle w:val="Compact"/>
              <w:jc w:val="left"/>
            </w:pPr>
            <w:r>
              <w:t xml:space="preserve">CO2 Gas</w:t>
            </w:r>
          </w:p>
        </w:tc>
        <w:tc>
          <w:tcPr/>
          <w:p>
            <w:pPr>
              <w:pStyle w:val="Compact"/>
              <w:jc w:val="left"/>
            </w:pPr>
            <w:r>
              <w:t xml:space="preserve">High-purity CO2 for injection</w:t>
            </w:r>
          </w:p>
        </w:tc>
        <w:tc>
          <w:tcPr/>
          <w:p>
            <w:pPr>
              <w:pStyle w:val="Compact"/>
              <w:jc w:val="left"/>
            </w:pPr>
            <w:r>
              <w:t xml:space="preserve">500 liters</w:t>
            </w:r>
          </w:p>
        </w:tc>
      </w:tr>
      <w:tr>
        <w:tc>
          <w:tcPr/>
          <w:p>
            <w:pPr>
              <w:pStyle w:val="Compact"/>
              <w:jc w:val="left"/>
            </w:pPr>
            <w:r>
              <w:t xml:space="preserve">Reservoir Fluids</w:t>
            </w:r>
          </w:p>
        </w:tc>
        <w:tc>
          <w:tcPr/>
          <w:p>
            <w:pPr>
              <w:pStyle w:val="Compact"/>
              <w:jc w:val="left"/>
            </w:pPr>
            <w:r>
              <w:t xml:space="preserve">Crude oil and brine samples from target reservoirs</w:t>
            </w:r>
          </w:p>
        </w:tc>
        <w:tc>
          <w:tcPr/>
          <w:p>
            <w:pPr>
              <w:pStyle w:val="Compact"/>
              <w:jc w:val="left"/>
            </w:pPr>
            <w:r>
              <w:t xml:space="preserve">200 liters each</w:t>
            </w:r>
          </w:p>
        </w:tc>
      </w:tr>
      <w:tr>
        <w:tc>
          <w:tcPr/>
          <w:p>
            <w:pPr>
              <w:pStyle w:val="Compact"/>
              <w:jc w:val="left"/>
            </w:pPr>
            <w:r>
              <w:t xml:space="preserve">High-Pressure Core Flood Apparatus</w:t>
            </w:r>
          </w:p>
        </w:tc>
        <w:tc>
          <w:tcPr/>
          <w:p>
            <w:pPr>
              <w:pStyle w:val="Compact"/>
              <w:jc w:val="left"/>
            </w:pPr>
            <w:r>
              <w:t xml:space="preserve">Equipment for simulating reservoir conditions</w:t>
            </w:r>
          </w:p>
        </w:tc>
        <w:tc>
          <w:tcPr/>
          <w:p>
            <w:pPr>
              <w:pStyle w:val="Compact"/>
              <w:jc w:val="left"/>
            </w:pPr>
            <w:r>
              <w:t xml:space="preserve">2 units</w:t>
            </w:r>
          </w:p>
        </w:tc>
      </w:tr>
      <w:tr>
        <w:tc>
          <w:tcPr/>
          <w:p>
            <w:pPr>
              <w:pStyle w:val="Compact"/>
              <w:jc w:val="left"/>
            </w:pPr>
            <w:r>
              <w:t xml:space="preserve">Pressure and Temperature Sensors</w:t>
            </w:r>
          </w:p>
        </w:tc>
        <w:tc>
          <w:tcPr/>
          <w:p>
            <w:pPr>
              <w:pStyle w:val="Compact"/>
              <w:jc w:val="left"/>
            </w:pPr>
            <w:r>
              <w:t xml:space="preserve">For real-time monitoring</w:t>
            </w:r>
          </w:p>
        </w:tc>
        <w:tc>
          <w:tcPr/>
          <w:p>
            <w:pPr>
              <w:pStyle w:val="Compact"/>
              <w:jc w:val="left"/>
            </w:pPr>
            <w:r>
              <w:t xml:space="preserve">20 sets</w:t>
            </w:r>
          </w:p>
        </w:tc>
      </w:tr>
      <w:tr>
        <w:tc>
          <w:tcPr/>
          <w:p>
            <w:pPr>
              <w:pStyle w:val="Compact"/>
              <w:jc w:val="left"/>
            </w:pPr>
            <w:r>
              <w:t xml:space="preserve">Data Acquisition System</w:t>
            </w:r>
          </w:p>
        </w:tc>
        <w:tc>
          <w:tcPr/>
          <w:p>
            <w:pPr>
              <w:pStyle w:val="Compact"/>
              <w:jc w:val="left"/>
            </w:pPr>
            <w:r>
              <w:t xml:space="preserve">For recording experimental data</w:t>
            </w:r>
          </w:p>
        </w:tc>
        <w:tc>
          <w:tcPr/>
          <w:p>
            <w:pPr>
              <w:pStyle w:val="Compact"/>
              <w:jc w:val="left"/>
            </w:pPr>
            <w:r>
              <w:t xml:space="preserve">1 system</w:t>
            </w:r>
          </w:p>
        </w:tc>
      </w:tr>
    </w:tbl>
    <w:bookmarkEnd w:id="23"/>
    <w:bookmarkStart w:id="28" w:name="experimental-procedure"/>
    <w:p>
      <w:pPr>
        <w:pStyle w:val="Heading2"/>
      </w:pPr>
      <w:r>
        <w:t xml:space="preserve">4. Experimental Procedure</w:t>
      </w:r>
    </w:p>
    <w:bookmarkStart w:id="24" w:name="sample-preparation"/>
    <w:p>
      <w:pPr>
        <w:pStyle w:val="Heading3"/>
      </w:pPr>
      <w:r>
        <w:t xml:space="preserve">4.1 Sample Preparation</w:t>
      </w:r>
    </w:p>
    <w:p>
      <w:pPr>
        <w:pStyle w:val="FirstParagraph"/>
      </w:pPr>
      <w:r>
        <w:t xml:space="preserve">Core samples will be cleaned and dried in a vacuum oven at 100°C for 24 hours to remove any residual fluids. The samples will then be saturated with brine under a pressure of 5,000 psi to simulate reservoir conditions. This step is crucial for ensuring that the experimental results accurately reflect the behavior of the reservoir in the Miami offshore environment.</w:t>
      </w:r>
    </w:p>
    <w:bookmarkEnd w:id="24"/>
    <w:bookmarkStart w:id="25" w:name="equipment-setup"/>
    <w:p>
      <w:pPr>
        <w:pStyle w:val="Heading3"/>
      </w:pPr>
      <w:r>
        <w:t xml:space="preserve">4.2 Equipment Setup</w:t>
      </w:r>
    </w:p>
    <w:p>
      <w:pPr>
        <w:pStyle w:val="FirstParagraph"/>
      </w:pPr>
      <w:r>
        <w:t xml:space="preserve">The high-pressure core flood apparatus will be assembled and calibrated according to the manufacturer's specifications. Pressure and temperature sensors will be installed and tested to ensure accurate readings. The data acquisition system will be configured to record data at intervals of 1 minute.</w:t>
      </w:r>
    </w:p>
    <w:bookmarkEnd w:id="25"/>
    <w:bookmarkStart w:id="26" w:name="injection-process"/>
    <w:p>
      <w:pPr>
        <w:pStyle w:val="Heading3"/>
      </w:pPr>
      <w:r>
        <w:t xml:space="preserve">4.3 Injection Process</w:t>
      </w:r>
    </w:p>
    <w:p>
      <w:pPr>
        <w:pStyle w:val="FirstParagraph"/>
      </w:pPr>
      <w:r>
        <w:t xml:space="preserve">CO2 will be injected into the core samples at a rate of 10 ml/min under a pressure of 5,000 psi and a temperature of 150°C. The injection will continue until breakthrough is observed, which is indicated by the appearance of CO2 in the effluent. The pressure and temperature will be maintained constant throughout the injection process.</w:t>
      </w:r>
    </w:p>
    <w:bookmarkEnd w:id="26"/>
    <w:bookmarkStart w:id="27" w:name="data-collection"/>
    <w:p>
      <w:pPr>
        <w:pStyle w:val="Heading3"/>
      </w:pPr>
      <w:r>
        <w:t xml:space="preserve">4.4 Data Collection</w:t>
      </w:r>
    </w:p>
    <w:p>
      <w:pPr>
        <w:pStyle w:val="FirstParagraph"/>
      </w:pPr>
      <w:r>
        <w:t xml:space="preserve">Data on pressure, temperature, flow rate, and effluent composition will be recorded continuously. Samples of the effluent will be collected at regular intervals for analysis. The data will be used to calculate the recovery factor and to assess the efficiency of the CO2 injection process.</w:t>
      </w:r>
    </w:p>
    <w:bookmarkEnd w:id="27"/>
    <w:bookmarkEnd w:id="28"/>
    <w:bookmarkStart w:id="29" w:name="safety-and-environmental-considerations"/>
    <w:p>
      <w:pPr>
        <w:pStyle w:val="Heading2"/>
      </w:pPr>
      <w:r>
        <w:t xml:space="preserve">5. Safety and Environmental Considerations</w:t>
      </w:r>
    </w:p>
    <w:p>
      <w:pPr>
        <w:pStyle w:val="FirstParagraph"/>
      </w:pPr>
      <w:r>
        <w:t xml:space="preserve">All procedures must comply with the safety regulations of the United States, including those enforced by the Occupational Safety and Health Administration (OSHA) and the BSEE. Personal protective equipment (PPE) must be worn at all times, and emergency procedures must be in place in case of CO2 leaks or other incidents. Environmental impact assessments must be conducted to ensure that the experiment does not adversely affect the marine ecosystem around Miami.</w:t>
      </w:r>
    </w:p>
    <w:bookmarkEnd w:id="29"/>
    <w:bookmarkStart w:id="30" w:name="data-analysis-and-reporting"/>
    <w:p>
      <w:pPr>
        <w:pStyle w:val="Heading2"/>
      </w:pPr>
      <w:r>
        <w:t xml:space="preserve">6. Data Analysis and Reporting</w:t>
      </w:r>
    </w:p>
    <w:p>
      <w:pPr>
        <w:pStyle w:val="FirstParagraph"/>
      </w:pPr>
      <w:r>
        <w:t xml:space="preserve">The data collected during the experiment will be analyzed using reservoir simulation software. The results will be compared with historical data from similar reservoirs in the Miami area to validate the findings. A comprehensive report will be prepared, detailing the methodology, results, and conclusions. The report will be submitted to the relevant regulatory authorities in the United States for review and approval.</w:t>
      </w:r>
    </w:p>
    <w:bookmarkEnd w:id="30"/>
    <w:bookmarkStart w:id="31" w:name="conclusion"/>
    <w:p>
      <w:pPr>
        <w:pStyle w:val="Heading2"/>
      </w:pPr>
      <w:r>
        <w:t xml:space="preserve">7. Conclusion</w:t>
      </w:r>
    </w:p>
    <w:p>
      <w:pPr>
        <w:pStyle w:val="FirstParagraph"/>
      </w:pPr>
      <w:r>
        <w:t xml:space="preserve">This Experiment Protocol provides a detailed framework for conducting reservoir characterization and EOR simulations in the context of Petroleum Engineering in Miami, Florida, United States. By following this protocol, we aim to enhance our understanding of reservoir behavior and to develop more effective and environmentally sustainable recovery techniques.</w:t>
      </w:r>
    </w:p>
    <w:bookmarkEnd w:id="31"/>
    <w:p>
      <w:pPr>
        <w:pStyle w:val="BodyText"/>
      </w:pPr>
      <w:r>
        <w:t xml:space="preserve">This document is the property of the Petroleum Engineering Department and is intended for internal use only.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Subsurface Reservoir Characterization and Enhanced Recovery Simulation</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