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Petroleum</w:t>
      </w:r>
      <w:r>
        <w:t xml:space="preserve"> </w:t>
      </w:r>
      <w:r>
        <w:t xml:space="preserve">Engineer</w:t>
      </w:r>
      <w:r>
        <w:t xml:space="preserve"> </w:t>
      </w:r>
      <w:r>
        <w:t xml:space="preserve">-</w:t>
      </w:r>
      <w:r>
        <w:t xml:space="preserve"> </w:t>
      </w:r>
      <w:r>
        <w:t xml:space="preserve">San</w:t>
      </w:r>
      <w:r>
        <w:t xml:space="preserve"> </w:t>
      </w:r>
      <w:r>
        <w:t xml:space="preserve">Francisco</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Advanced Reservoir Characterization and Enhanced Oil Recovery Simulation</w:t>
      </w:r>
    </w:p>
    <w:p>
      <w:pPr>
        <w:pStyle w:val="BodyText"/>
      </w:pPr>
      <w:r>
        <w:rPr>
          <w:bCs/>
          <w:b/>
        </w:rPr>
        <w:t xml:space="preserve">Location:</w:t>
      </w:r>
      <w:r>
        <w:t xml:space="preserve"> </w:t>
      </w:r>
      <w:r>
        <w:t xml:space="preserve">United States, San Francisco, California</w:t>
      </w:r>
    </w:p>
    <w:p>
      <w:pPr>
        <w:pStyle w:val="BodyText"/>
      </w:pPr>
      <w:r>
        <w:rPr>
          <w:bCs/>
          <w:b/>
        </w:rPr>
        <w:t xml:space="preserve">Discipline:</w:t>
      </w:r>
      <w:r>
        <w:t xml:space="preserve"> </w:t>
      </w:r>
      <w:r>
        <w:t xml:space="preserve">Petroleum Engineering</w:t>
      </w:r>
    </w:p>
    <w:p>
      <w:pPr>
        <w:pStyle w:val="BodyText"/>
      </w:pPr>
      <w:r>
        <w:rPr>
          <w:bCs/>
          <w:b/>
        </w:rPr>
        <w:t xml:space="preserve">Protocol ID:</w:t>
      </w:r>
      <w:r>
        <w:t xml:space="preserve"> </w:t>
      </w:r>
      <w:r>
        <w:t xml:space="preserve">SF-PE-2023-004</w:t>
      </w:r>
    </w:p>
    <w:p>
      <w:pPr>
        <w:pStyle w:val="BodyText"/>
      </w:pPr>
      <w:r>
        <w:rPr>
          <w:bCs/>
          <w:b/>
        </w:rPr>
        <w:t xml:space="preserve">Date:</w:t>
      </w:r>
      <w:r>
        <w:t xml:space="preserve"> </w:t>
      </w:r>
      <w:r>
        <w:t xml:space="preserve">October 26, 2023</w:t>
      </w:r>
    </w:p>
    <w:bookmarkEnd w:id="20"/>
    <w:p>
      <w:pPr>
        <w:pStyle w:val="BodyText"/>
      </w:pPr>
      <w:r>
        <w:t xml:space="preserve">1. Introduction and Objective</w:t>
      </w:r>
    </w:p>
    <w:p>
      <w:pPr>
        <w:pStyle w:val="BodyText"/>
      </w:pPr>
      <w:r>
        <w:t xml:space="preserve">This Experiment Protocol outlines the procedures for a controlled laboratory simulation designed to evaluate the efficiency of novel chemical flooding agents in low-permeability reservoir rock samples. As a Petroleum Engineer operating within the regulatory and environmental framework of the United States, specifically in the San Francisco Bay Area, this study aims to bridge the gap between theoretical reservoir modeling and practical field application.</w:t>
      </w:r>
    </w:p>
    <w:p>
      <w:pPr>
        <w:pStyle w:val="BodyText"/>
      </w:pPr>
      <w:r>
        <w:t xml:space="preserve">The primary objective is to quantify the incremental oil recovery factor achieved through the injection of a biodegradable surfactant-polymer solution compared to traditional water flooding methods. Given the stringent environmental standards enforced in California, this experiment also seeks to validate the eco-compatibility of the proposed chemicals, ensuring they meet the rigorous criteria set by the California Environmental Protection Agency (CalEPA).</w:t>
      </w:r>
    </w:p>
    <w:p>
      <w:pPr>
        <w:pStyle w:val="BodyText"/>
      </w:pPr>
      <w:r>
        <w:t xml:space="preserve">2. Scope and Applicability</w:t>
      </w:r>
    </w:p>
    <w:p>
      <w:pPr>
        <w:pStyle w:val="BodyText"/>
      </w:pPr>
      <w:r>
        <w:t xml:space="preserve">This protocol applies to all personnel involved in the experimental phase, including lead Petroleum Engineers, laboratory technicians, and safety officers. The scope is limited to core flooding experiments conducted in the designated high-pressure laboratory facility in San Francisco. The results will inform potential pilot projects in offshore fields within the United States federal waters adjacent to California.</w:t>
      </w:r>
    </w:p>
    <w:p>
      <w:pPr>
        <w:pStyle w:val="BodyText"/>
      </w:pPr>
      <w:r>
        <w:t xml:space="preserve">3. Materials and Equipment</w:t>
      </w:r>
    </w:p>
    <w:p>
      <w:pPr>
        <w:pStyle w:val="BodyText"/>
      </w:pPr>
      <w:r>
        <w:t xml:space="preserve">The following materials and equipment are required to execute this experiment safely and accurately:</w:t>
      </w:r>
    </w:p>
    <w:p>
      <w:pPr>
        <w:numPr>
          <w:ilvl w:val="0"/>
          <w:numId w:val="1001"/>
        </w:numPr>
        <w:pStyle w:val="Compact"/>
      </w:pPr>
      <w:r>
        <w:rPr>
          <w:bCs/>
          <w:b/>
        </w:rPr>
        <w:t xml:space="preserve">Core Samples:</w:t>
      </w:r>
      <w:r>
        <w:t xml:space="preserve"> </w:t>
      </w:r>
      <w:r>
        <w:t xml:space="preserve">Cylindrical sandstone cores (2.5 cm diameter, 10 cm length) sourced from representative geological formations in the Western United States.</w:t>
      </w:r>
    </w:p>
    <w:p>
      <w:pPr>
        <w:numPr>
          <w:ilvl w:val="0"/>
          <w:numId w:val="1001"/>
        </w:numPr>
        <w:pStyle w:val="Compact"/>
      </w:pPr>
      <w:r>
        <w:rPr>
          <w:bCs/>
          <w:b/>
        </w:rPr>
        <w:t xml:space="preserve">Core Holder:</w:t>
      </w:r>
      <w:r>
        <w:t xml:space="preserve"> </w:t>
      </w:r>
      <w:r>
        <w:t xml:space="preserve">Stainless steel Hassler-type core holder capable of withstanding confining pressures up to 10,000 psi.</w:t>
      </w:r>
    </w:p>
    <w:p>
      <w:pPr>
        <w:numPr>
          <w:ilvl w:val="0"/>
          <w:numId w:val="1001"/>
        </w:numPr>
        <w:pStyle w:val="Compact"/>
      </w:pPr>
      <w:r>
        <w:rPr>
          <w:bCs/>
          <w:b/>
        </w:rPr>
        <w:t xml:space="preserve">Injection System:</w:t>
      </w:r>
      <w:r>
        <w:t xml:space="preserve"> </w:t>
      </w:r>
      <w:r>
        <w:t xml:space="preserve">High-pressure syringe pumps with precision flow control (accuracy ±0.1% of full scale).</w:t>
      </w:r>
    </w:p>
    <w:p>
      <w:pPr>
        <w:numPr>
          <w:ilvl w:val="0"/>
          <w:numId w:val="1001"/>
        </w:numPr>
        <w:pStyle w:val="Compact"/>
      </w:pPr>
      <w:r>
        <w:rPr>
          <w:bCs/>
          <w:b/>
        </w:rPr>
        <w:t xml:space="preserve">Fluids:</w:t>
      </w:r>
      <w:r>
        <w:t xml:space="preserve"> </w:t>
      </w:r>
      <w:r>
        <w:t xml:space="preserve">Synthetic brine (matching reservoir salinity), crude oil (API gravity 30°), and the experimental biodegradable surfactant-polymer solution.</w:t>
      </w:r>
    </w:p>
    <w:p>
      <w:pPr>
        <w:numPr>
          <w:ilvl w:val="0"/>
          <w:numId w:val="1001"/>
        </w:numPr>
        <w:pStyle w:val="Compact"/>
      </w:pPr>
      <w:r>
        <w:rPr>
          <w:bCs/>
          <w:b/>
        </w:rPr>
        <w:t xml:space="preserve">Measurement Devices:</w:t>
      </w:r>
      <w:r>
        <w:t xml:space="preserve"> </w:t>
      </w:r>
      <w:r>
        <w:t xml:space="preserve">Differential pressure transducers, digital burettes for fluid collection, and a back-pressure regulator.</w:t>
      </w:r>
    </w:p>
    <w:p>
      <w:pPr>
        <w:numPr>
          <w:ilvl w:val="0"/>
          <w:numId w:val="1001"/>
        </w:numPr>
        <w:pStyle w:val="Compact"/>
      </w:pPr>
      <w:r>
        <w:rPr>
          <w:bCs/>
          <w:b/>
        </w:rPr>
        <w:t xml:space="preserve">Safety Gear:</w:t>
      </w:r>
      <w:r>
        <w:t xml:space="preserve"> </w:t>
      </w:r>
      <w:r>
        <w:t xml:space="preserve">Personal Protective Equipment (PPE) compliant with OSHA standards, including chemical-resistant gloves, safety goggles, and lab coats.</w:t>
      </w:r>
    </w:p>
    <w:p>
      <w:pPr>
        <w:pStyle w:val="FirstParagraph"/>
      </w:pPr>
      <w:r>
        <w:t xml:space="preserve">4. Experimental Procedure</w:t>
      </w:r>
    </w:p>
    <w:p>
      <w:pPr>
        <w:pStyle w:val="BodyText"/>
      </w:pPr>
      <w:r>
        <w:t xml:space="preserve">The experiment will be conducted in three distinct phases: Saturation, Water Flooding, and Chemical Flooding.</w:t>
      </w:r>
    </w:p>
    <w:bookmarkStart w:id="21" w:name="core-preparation-and-saturation"/>
    <w:p>
      <w:pPr>
        <w:pStyle w:val="Heading3"/>
      </w:pPr>
      <w:r>
        <w:t xml:space="preserve">4.1. Core Preparation and Saturation</w:t>
      </w:r>
    </w:p>
    <w:p>
      <w:pPr>
        <w:pStyle w:val="FirstParagraph"/>
      </w:pPr>
      <w:r>
        <w:t xml:space="preserve">First, the core samples will be cleaned using toluene and acetone to remove any residual hydrocarbons. The cleaned cores will then be dried in an oven at 100°C for 24 hours. Subsequently, the cores will be saturated with synthetic brine under vacuum to ensure complete pore filling. Finally, the brine-saturated cores will be displaced with crude oil at a controlled rate to establish an initial oil saturation (Soi) representative of a mature reservoir.</w:t>
      </w:r>
    </w:p>
    <w:bookmarkEnd w:id="21"/>
    <w:bookmarkStart w:id="22" w:name="water-flooding-phase"/>
    <w:p>
      <w:pPr>
        <w:pStyle w:val="Heading3"/>
      </w:pPr>
      <w:r>
        <w:t xml:space="preserve">4.2. Water Flooding Phase</w:t>
      </w:r>
    </w:p>
    <w:p>
      <w:pPr>
        <w:pStyle w:val="FirstParagraph"/>
      </w:pPr>
      <w:r>
        <w:t xml:space="preserve">Once the initial saturation is established, the core will be placed in the core holder, and a confining pressure of 2,000 psi will be applied. Synthetic brine will be injected at a constant flow rate of 1 cm³/min. The effluent will be collected and measured until the water cut reaches 98%, indicating the residual oil saturation (Sor) after water flooding. Pressure drop across the core will be continuously monitored to calculate relative permeability.</w:t>
      </w:r>
    </w:p>
    <w:bookmarkEnd w:id="22"/>
    <w:bookmarkStart w:id="23" w:name="chemical-flooding-phase"/>
    <w:p>
      <w:pPr>
        <w:pStyle w:val="Heading3"/>
      </w:pPr>
      <w:r>
        <w:t xml:space="preserve">4.3. Chemical Flooding Phase</w:t>
      </w:r>
    </w:p>
    <w:p>
      <w:pPr>
        <w:pStyle w:val="FirstParagraph"/>
      </w:pPr>
      <w:r>
        <w:t xml:space="preserve">Following the water flooding phase, the injection fluid will be switched to the experimental surfactant-polymer solution. The concentration of the surfactant will be maintained at 0.5% by weight, and the polymer at 1000 ppm. Injection will continue at the same flow rate until the water cut again reaches 98%. The volume of oil recovered during this phase will be recorded to determine the incremental recovery factor.</w:t>
      </w:r>
    </w:p>
    <w:bookmarkEnd w:id="23"/>
    <w:p>
      <w:pPr>
        <w:pStyle w:val="BodyText"/>
      </w:pPr>
      <w:r>
        <w:t xml:space="preserve">5. Data Collection and Analysis</w:t>
      </w:r>
    </w:p>
    <w:p>
      <w:pPr>
        <w:pStyle w:val="BodyText"/>
      </w:pPr>
      <w:r>
        <w:t xml:space="preserve">Data will be recorded at 1-minute intervals throughout the experiment. Key parameters include cumulative oil production, water cut, differential pressure, and effluent chemical concentration. The data will be analyzed using standard material balance equations and relative permeability models. The results will be compared against baseline data from previous experiments conducted in San Francisco laboratories to assess the efficacy of the new chemical formulation.</w:t>
      </w:r>
    </w:p>
    <w:p>
      <w:pPr>
        <w:pStyle w:val="BodyText"/>
      </w:pPr>
      <w:r>
        <w:t xml:space="preserve">6. Health, Safety, and Environmental (HSE) Considerations</w:t>
      </w:r>
    </w:p>
    <w:p>
      <w:pPr>
        <w:pStyle w:val="BodyText"/>
      </w:pPr>
      <w:r>
        <w:t xml:space="preserve">As a Petroleum Engineer working in the United States, adherence to OSHA regulations is mandatory. All personnel must undergo safety training before handling chemicals or operating high-pressure equipment. In the event of a spill, the laboratory's emergency response plan will be activated immediately. Furthermore, all waste fluids will be treated and disposed of in accordance with California's hazardous waste management regulations to minimize environmental impact.</w:t>
      </w:r>
    </w:p>
    <w:p>
      <w:pPr>
        <w:pStyle w:val="BodyText"/>
      </w:pPr>
      <w:r>
        <w:t xml:space="preserve">7. Quality Assurance and Control</w:t>
      </w:r>
    </w:p>
    <w:p>
      <w:pPr>
        <w:pStyle w:val="BodyText"/>
      </w:pPr>
      <w:r>
        <w:t xml:space="preserve">To ensure the reliability of the results, all equipment will be calibrated prior to the experiment. Duplicate core samples will be tested to verify the reproducibility of the data. Any deviations from the protocol must be documented and justified in the final report.</w:t>
      </w:r>
    </w:p>
    <w:p>
      <w:pPr>
        <w:pStyle w:val="BodyText"/>
      </w:pPr>
      <w:r>
        <w:t xml:space="preserve">8. Conclusion and Reporting</w:t>
      </w:r>
    </w:p>
    <w:p>
      <w:pPr>
        <w:pStyle w:val="BodyText"/>
      </w:pPr>
      <w:r>
        <w:t xml:space="preserve">Upon completion of the experiment, a comprehensive report will be prepared detailing the methodology, results, and conclusions. The report will highlight the potential for implementing the chemical flooding technique in actual reservoirs, considering both economic and environmental factors. This Experiment Protocol serves as a critical step in advancing petroleum engineering practices in a sustainable and responsible manner within the United States.</w:t>
      </w:r>
    </w:p>
    <w:p>
      <w:pPr>
        <w:pStyle w:val="BodyText"/>
      </w:pPr>
      <w:r>
        <w:rPr>
          <w:bCs/>
          <w:b/>
        </w:rPr>
        <w:t xml:space="preserve">Prepared by:</w:t>
      </w:r>
    </w:p>
    <w:p>
      <w:pPr>
        <w:pStyle w:val="BodyText"/>
      </w:pPr>
      <w:r>
        <w:t xml:space="preserve">__________________________</w:t>
      </w:r>
    </w:p>
    <w:p>
      <w:pPr>
        <w:pStyle w:val="BodyText"/>
      </w:pPr>
      <w:r>
        <w:t xml:space="preserve">Lead Petroleum Engineer</w:t>
      </w:r>
    </w:p>
    <w:p>
      <w:pPr>
        <w:pStyle w:val="BodyText"/>
      </w:pPr>
      <w:r>
        <w:t xml:space="preserve">San Francisco, California</w:t>
      </w:r>
    </w:p>
    <w:p>
      <w:pPr>
        <w:pStyle w:val="BodyText"/>
      </w:pPr>
      <w:r>
        <w:br/>
      </w:r>
    </w:p>
    <w:p>
      <w:pPr>
        <w:pStyle w:val="BodyText"/>
      </w:pPr>
      <w:r>
        <w:rPr>
          <w:bCs/>
          <w:b/>
        </w:rPr>
        <w:t xml:space="preserve">Approved by:</w:t>
      </w:r>
    </w:p>
    <w:p>
      <w:pPr>
        <w:pStyle w:val="BodyText"/>
      </w:pPr>
      <w:r>
        <w:t xml:space="preserve">__________________________</w:t>
      </w:r>
    </w:p>
    <w:p>
      <w:pPr>
        <w:pStyle w:val="BodyText"/>
      </w:pPr>
      <w:r>
        <w:t xml:space="preserve">Project Manager</w:t>
      </w:r>
    </w:p>
    <w:p>
      <w:pPr>
        <w:pStyle w:val="BodyText"/>
      </w:pPr>
      <w:r>
        <w:t xml:space="preserve">United States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Petroleum Engineer - San Francisco</dc:title>
  <dc:creator/>
  <dc:language>en</dc:language>
  <cp:keywords/>
  <dcterms:created xsi:type="dcterms:W3CDTF">2026-10-10T06:49:09Z</dcterms:created>
  <dcterms:modified xsi:type="dcterms:W3CDTF">2026-10-10T06:49:09Z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