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Enhanced</w:t>
      </w:r>
      <w:r>
        <w:t xml:space="preserve"> </w:t>
      </w:r>
      <w:r>
        <w:t xml:space="preserve">Oil</w:t>
      </w:r>
      <w:r>
        <w:t xml:space="preserve"> </w:t>
      </w:r>
      <w:r>
        <w:t xml:space="preserve">Recovery</w:t>
      </w:r>
      <w:r>
        <w:t xml:space="preserve"> </w:t>
      </w:r>
      <w:r>
        <w:t xml:space="preserve">in</w:t>
      </w:r>
      <w:r>
        <w:t xml:space="preserve"> </w:t>
      </w:r>
      <w:r>
        <w:t xml:space="preserve">Tashkent</w:t>
      </w:r>
      <w:r>
        <w:t xml:space="preserve"> </w:t>
      </w:r>
      <w:r>
        <w:t xml:space="preserve">Basin</w:t>
      </w:r>
    </w:p>
    <w:bookmarkStart w:id="30" w:name="X1df926bb751fcd20ed7d50a221cd0bc2e6986c7"/>
    <w:p>
      <w:pPr>
        <w:pStyle w:val="Heading1"/>
      </w:pPr>
      <w:r>
        <w:t xml:space="preserve">Experiment Protocol: Enhanced Oil Recovery (EOR) via Polymer Flooding</w:t>
      </w:r>
    </w:p>
    <w:p>
      <w:pPr>
        <w:pStyle w:val="FirstParagraph"/>
      </w:pPr>
      <w:r>
        <w:rPr>
          <w:bCs/>
          <w:b/>
        </w:rPr>
        <w:t xml:space="preserve">Project ID:</w:t>
      </w:r>
      <w:r>
        <w:t xml:space="preserve"> </w:t>
      </w:r>
      <w:r>
        <w:t xml:space="preserve">UZ-TASH-PE-2024-001</w:t>
      </w:r>
    </w:p>
    <w:p>
      <w:pPr>
        <w:pStyle w:val="BodyText"/>
      </w:pPr>
      <w:r>
        <w:rPr>
          <w:bCs/>
          <w:b/>
        </w:rPr>
        <w:t xml:space="preserve">Location:</w:t>
      </w:r>
      <w:r>
        <w:t xml:space="preserve"> </w:t>
      </w:r>
      <w:r>
        <w:t xml:space="preserve">Tashkent Region, Uzbekistan (Uchquduq Field Pilot Site)</w:t>
      </w:r>
    </w:p>
    <w:p>
      <w:pPr>
        <w:pStyle w:val="BodyText"/>
      </w:pPr>
      <w:r>
        <w:rPr>
          <w:bCs/>
          <w:b/>
        </w:rPr>
        <w:t xml:space="preserve">Lead Discipline:</w:t>
      </w:r>
      <w:r>
        <w:t xml:space="preserve"> </w:t>
      </w:r>
      <w:r>
        <w:t xml:space="preserve">Petroleum Engineering</w:t>
      </w:r>
    </w:p>
    <w:p>
      <w:pPr>
        <w:pStyle w:val="BodyText"/>
      </w:pPr>
      <w:r>
        <w:rPr>
          <w:bCs/>
          <w:b/>
        </w:rPr>
        <w:t xml:space="preserve">Date of Issue:</w:t>
      </w:r>
      <w:r>
        <w:t xml:space="preserve"> </w:t>
      </w:r>
      <w:r>
        <w:t xml:space="preserve">October 24, 2024</w:t>
      </w:r>
    </w:p>
    <w:p>
      <w:pPr>
        <w:pStyle w:val="BodyText"/>
      </w:pPr>
      <w:r>
        <w:rPr>
          <w:bCs/>
          <w:b/>
        </w:rPr>
        <w:t xml:space="preserve">Status:</w:t>
      </w:r>
      <w:r>
        <w:t xml:space="preserve"> </w:t>
      </w:r>
      <w:r>
        <w:t xml:space="preserve">Approved for Field Implementation</w:t>
      </w:r>
    </w:p>
    <w:bookmarkStart w:id="20" w:name="introduction-and-objective"/>
    <w:p>
      <w:pPr>
        <w:pStyle w:val="Heading2"/>
      </w:pPr>
      <w:r>
        <w:t xml:space="preserve">1. Introduction and Objective</w:t>
      </w:r>
    </w:p>
    <w:p>
      <w:pPr>
        <w:pStyle w:val="FirstParagraph"/>
      </w:pPr>
      <w:r>
        <w:t xml:space="preserve">This Experiment Protocol outlines the technical procedures, safety measures, and data acquisition strategies for a pilot-scale Enhanced Oil Recovery (EOR) project utilizing polymer flooding. The project is situated in the Tashkent region of Uzbekistan, a critical hub for the nation's hydrocarbon production. As a Petroleum Engineer, the primary objective is to evaluate the efficacy of high-molecular-weight polyacrylamide injection to improve sweep efficiency in mature carbonate reservoirs.</w:t>
      </w:r>
    </w:p>
    <w:p>
      <w:pPr>
        <w:pStyle w:val="BodyText"/>
      </w:pPr>
      <w:r>
        <w:t xml:space="preserve">The specific goals of this experiment are to:</w:t>
      </w:r>
    </w:p>
    <w:p>
      <w:pPr>
        <w:numPr>
          <w:ilvl w:val="0"/>
          <w:numId w:val="1001"/>
        </w:numPr>
        <w:pStyle w:val="Compact"/>
      </w:pPr>
      <w:r>
        <w:t xml:space="preserve">Determine the optimal polymer concentration for the specific salinity and temperature conditions of the Tashkent basin reservoirs.</w:t>
      </w:r>
    </w:p>
    <w:p>
      <w:pPr>
        <w:numPr>
          <w:ilvl w:val="0"/>
          <w:numId w:val="1001"/>
        </w:numPr>
        <w:pStyle w:val="Compact"/>
      </w:pPr>
      <w:r>
        <w:t xml:space="preserve">Quantify the incremental oil recovery factor compared to conventional water flooding.</w:t>
      </w:r>
    </w:p>
    <w:p>
      <w:pPr>
        <w:numPr>
          <w:ilvl w:val="0"/>
          <w:numId w:val="1001"/>
        </w:numPr>
        <w:pStyle w:val="Compact"/>
      </w:pPr>
      <w:r>
        <w:t xml:space="preserve">Assess the impact of polymer injection on reservoir pressure maintenance and wellbore integrity.</w:t>
      </w:r>
    </w:p>
    <w:p>
      <w:pPr>
        <w:numPr>
          <w:ilvl w:val="0"/>
          <w:numId w:val="1001"/>
        </w:numPr>
        <w:pStyle w:val="Compact"/>
      </w:pPr>
      <w:r>
        <w:t xml:space="preserve">Ensure compliance with the environmental regulations of Uzbekistan regarding chemical injection and produced water management.</w:t>
      </w:r>
    </w:p>
    <w:bookmarkEnd w:id="20"/>
    <w:bookmarkStart w:id="21" w:name="scope-of-work"/>
    <w:p>
      <w:pPr>
        <w:pStyle w:val="Heading2"/>
      </w:pPr>
      <w:r>
        <w:t xml:space="preserve">2. Scope of Work</w:t>
      </w:r>
    </w:p>
    <w:p>
      <w:pPr>
        <w:pStyle w:val="FirstParagraph"/>
      </w:pPr>
      <w:r>
        <w:t xml:space="preserve">The scope of this protocol covers the entire lifecycle of the pilot test, from laboratory core flooding simulations to field injection operations and subsequent monitoring. The work will be conducted by a multidisciplinary team of Petroleum Engineers, geologists, and chemists based in Tashkent. The experiment focuses on a specific 5-spot well pattern within the designated pilot area.</w:t>
      </w:r>
    </w:p>
    <w:bookmarkEnd w:id="21"/>
    <w:bookmarkStart w:id="25" w:name="methodology"/>
    <w:p>
      <w:pPr>
        <w:pStyle w:val="Heading2"/>
      </w:pPr>
      <w:r>
        <w:t xml:space="preserve">3. Methodology</w:t>
      </w:r>
    </w:p>
    <w:bookmarkStart w:id="22" w:name="laboratory-phase"/>
    <w:p>
      <w:pPr>
        <w:pStyle w:val="Heading3"/>
      </w:pPr>
      <w:r>
        <w:t xml:space="preserve">3.1. Laboratory Phase</w:t>
      </w:r>
    </w:p>
    <w:p>
      <w:pPr>
        <w:pStyle w:val="FirstParagraph"/>
      </w:pPr>
      <w:r>
        <w:t xml:space="preserve">Prior to field implementation, core samples extracted from the target formation in the Tashkent region will undergo rigorous testing. The Petroleum Engineer will oversee the measurement of relative permeability curves and capillary pressure. Rheological tests will be performed to determine the viscosity of the polymer solution under reservoir conditions (approx. 60°C and 150 bar). This phase is critical to calibrate the numerical reservoir simulation models.</w:t>
      </w:r>
    </w:p>
    <w:bookmarkEnd w:id="22"/>
    <w:bookmarkStart w:id="23" w:name="field-preparation"/>
    <w:p>
      <w:pPr>
        <w:pStyle w:val="Heading3"/>
      </w:pPr>
      <w:r>
        <w:t xml:space="preserve">3.2. Field Preparation</w:t>
      </w:r>
    </w:p>
    <w:p>
      <w:pPr>
        <w:pStyle w:val="FirstParagraph"/>
      </w:pPr>
      <w:r>
        <w:t xml:space="preserve">The injection wells must be prepared to handle the higher viscosity fluids. This involves:</w:t>
      </w:r>
    </w:p>
    <w:p>
      <w:pPr>
        <w:numPr>
          <w:ilvl w:val="0"/>
          <w:numId w:val="1002"/>
        </w:numPr>
        <w:pStyle w:val="Compact"/>
      </w:pPr>
      <w:r>
        <w:t xml:space="preserve">Installing polymer-resistant pumps and surface piping.</w:t>
      </w:r>
    </w:p>
    <w:p>
      <w:pPr>
        <w:numPr>
          <w:ilvl w:val="0"/>
          <w:numId w:val="1002"/>
        </w:numPr>
        <w:pStyle w:val="Compact"/>
      </w:pPr>
      <w:r>
        <w:t xml:space="preserve">Conducting wellbore integrity tests (casing pressure tests) to prevent leakage into shallow aquifers.</w:t>
      </w:r>
    </w:p>
    <w:p>
      <w:pPr>
        <w:numPr>
          <w:ilvl w:val="0"/>
          <w:numId w:val="1002"/>
        </w:numPr>
        <w:pStyle w:val="Compact"/>
      </w:pPr>
      <w:r>
        <w:t xml:space="preserve">Establishing a dedicated mixing and injection facility on-site in Tashkent.</w:t>
      </w:r>
    </w:p>
    <w:bookmarkEnd w:id="23"/>
    <w:bookmarkStart w:id="24" w:name="injection-procedure"/>
    <w:p>
      <w:pPr>
        <w:pStyle w:val="Heading3"/>
      </w:pPr>
      <w:r>
        <w:t xml:space="preserve">3.3. Injection Procedure</w:t>
      </w:r>
    </w:p>
    <w:p>
      <w:pPr>
        <w:pStyle w:val="FirstParagraph"/>
      </w:pPr>
      <w:r>
        <w:t xml:space="preserve">The injection phase will proceed in three stages:</w:t>
      </w:r>
    </w:p>
    <w:p>
      <w:pPr>
        <w:numPr>
          <w:ilvl w:val="0"/>
          <w:numId w:val="1003"/>
        </w:numPr>
        <w:pStyle w:val="Compact"/>
      </w:pPr>
      <w:r>
        <w:rPr>
          <w:bCs/>
          <w:b/>
        </w:rPr>
        <w:t xml:space="preserve">Pre-flush:</w:t>
      </w:r>
      <w:r>
        <w:t xml:space="preserve"> </w:t>
      </w:r>
      <w:r>
        <w:t xml:space="preserve">Injection of 0.5 pore volumes (PV) of low-salinity water to condition the rock surface.</w:t>
      </w:r>
    </w:p>
    <w:p>
      <w:pPr>
        <w:numPr>
          <w:ilvl w:val="0"/>
          <w:numId w:val="1003"/>
        </w:numPr>
        <w:pStyle w:val="Compact"/>
      </w:pPr>
      <w:r>
        <w:rPr>
          <w:bCs/>
          <w:b/>
        </w:rPr>
        <w:t xml:space="preserve">Polymer Slug:</w:t>
      </w:r>
      <w:r>
        <w:t xml:space="preserve"> </w:t>
      </w:r>
      <w:r>
        <w:t xml:space="preserve">Injection of 0.3 PV of polymer solution at a concentration of 1500 ppm.</w:t>
      </w:r>
    </w:p>
    <w:p>
      <w:pPr>
        <w:numPr>
          <w:ilvl w:val="0"/>
          <w:numId w:val="1003"/>
        </w:numPr>
        <w:pStyle w:val="Compact"/>
      </w:pPr>
      <w:r>
        <w:rPr>
          <w:bCs/>
          <w:b/>
        </w:rPr>
        <w:t xml:space="preserve">Post-flush:</w:t>
      </w:r>
      <w:r>
        <w:t xml:space="preserve"> </w:t>
      </w:r>
      <w:r>
        <w:t xml:space="preserve">Injection of 1.0 PV of formation water to push the polymer slug toward the production wells.</w:t>
      </w:r>
    </w:p>
    <w:p>
      <w:pPr>
        <w:pStyle w:val="FirstParagraph"/>
      </w:pPr>
      <w:r>
        <w:t xml:space="preserve">The injection rate will be maintained at a constant rate of 50 cubic meters per day per well, monitored continuously by flow meters.</w:t>
      </w:r>
    </w:p>
    <w:bookmarkEnd w:id="24"/>
    <w:bookmarkEnd w:id="25"/>
    <w:bookmarkStart w:id="26" w:name="data-acquisition-and-monitoring"/>
    <w:p>
      <w:pPr>
        <w:pStyle w:val="Heading2"/>
      </w:pPr>
      <w:r>
        <w:t xml:space="preserve">4. Data Acquisition and Monitoring</w:t>
      </w:r>
    </w:p>
    <w:p>
      <w:pPr>
        <w:pStyle w:val="FirstParagraph"/>
      </w:pPr>
      <w:r>
        <w:t xml:space="preserve">Accurate data collection is paramount for the success of this experiment. The Petroleum Engineer will utilize the following monitoring techniques: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Parameter</w:t>
            </w:r>
          </w:p>
        </w:tc>
        <w:tc>
          <w:tcPr/>
          <w:p>
            <w:pPr>
              <w:pStyle w:val="Compact"/>
              <w:jc w:val="left"/>
            </w:pPr>
            <w:r>
              <w:t xml:space="preserve">Measurement Method</w:t>
            </w:r>
          </w:p>
        </w:tc>
        <w:tc>
          <w:tcPr/>
          <w:p>
            <w:pPr>
              <w:pStyle w:val="Compact"/>
              <w:jc w:val="left"/>
            </w:pPr>
            <w:r>
              <w:t xml:space="preserve">Frequency</w:t>
            </w:r>
          </w:p>
        </w:tc>
      </w:tr>
      <w:tr>
        <w:tc>
          <w:tcPr/>
          <w:p>
            <w:pPr>
              <w:pStyle w:val="Compact"/>
              <w:jc w:val="left"/>
            </w:pPr>
            <w:r>
              <w:t xml:space="preserve">Injection Pressure</w:t>
            </w:r>
          </w:p>
        </w:tc>
        <w:tc>
          <w:tcPr/>
          <w:p>
            <w:pPr>
              <w:pStyle w:val="Compact"/>
              <w:jc w:val="left"/>
            </w:pPr>
            <w:r>
              <w:t xml:space="preserve">Downhole and Surface Gauges</w:t>
            </w:r>
          </w:p>
        </w:tc>
        <w:tc>
          <w:tcPr/>
          <w:p>
            <w:pPr>
              <w:pStyle w:val="Compact"/>
              <w:jc w:val="left"/>
            </w:pPr>
            <w:r>
              <w:t xml:space="preserve">Continuous (Real-time)</w:t>
            </w:r>
          </w:p>
        </w:tc>
      </w:tr>
      <w:tr>
        <w:tc>
          <w:tcPr/>
          <w:p>
            <w:pPr>
              <w:pStyle w:val="Compact"/>
              <w:jc w:val="left"/>
            </w:pPr>
            <w:r>
              <w:t xml:space="preserve">Produced Fluid Composition</w:t>
            </w:r>
          </w:p>
        </w:tc>
        <w:tc>
          <w:tcPr/>
          <w:p>
            <w:pPr>
              <w:pStyle w:val="Compact"/>
              <w:jc w:val="left"/>
            </w:pPr>
            <w:r>
              <w:t xml:space="preserve">Chromatography and Titration</w:t>
            </w:r>
          </w:p>
        </w:tc>
        <w:tc>
          <w:tcPr/>
          <w:p>
            <w:pPr>
              <w:pStyle w:val="Compact"/>
              <w:jc w:val="left"/>
            </w:pPr>
            <w:r>
              <w:t xml:space="preserve">Daily</w:t>
            </w:r>
          </w:p>
        </w:tc>
      </w:tr>
      <w:tr>
        <w:tc>
          <w:tcPr/>
          <w:p>
            <w:pPr>
              <w:pStyle w:val="Compact"/>
              <w:jc w:val="left"/>
            </w:pPr>
            <w:r>
              <w:t xml:space="preserve">Water Cut</w:t>
            </w:r>
          </w:p>
        </w:tc>
        <w:tc>
          <w:tcPr/>
          <w:p>
            <w:pPr>
              <w:pStyle w:val="Compact"/>
              <w:jc w:val="left"/>
            </w:pPr>
            <w:r>
              <w:t xml:space="preserve">Capacitance Probes</w:t>
            </w:r>
          </w:p>
        </w:tc>
        <w:tc>
          <w:tcPr/>
          <w:p>
            <w:pPr>
              <w:pStyle w:val="Compact"/>
              <w:jc w:val="left"/>
            </w:pPr>
            <w:r>
              <w:t xml:space="preserve">Continuous</w:t>
            </w:r>
          </w:p>
        </w:tc>
      </w:tr>
      <w:tr>
        <w:tc>
          <w:tcPr/>
          <w:p>
            <w:pPr>
              <w:pStyle w:val="Compact"/>
              <w:jc w:val="left"/>
            </w:pPr>
            <w:r>
              <w:t xml:space="preserve">Reservoir Temperature</w:t>
            </w:r>
          </w:p>
        </w:tc>
        <w:tc>
          <w:tcPr/>
          <w:p>
            <w:pPr>
              <w:pStyle w:val="Compact"/>
              <w:jc w:val="left"/>
            </w:pPr>
            <w:r>
              <w:t xml:space="preserve">Distributed Temperature Sensing (DTS)</w:t>
            </w:r>
          </w:p>
        </w:tc>
        <w:tc>
          <w:tcPr/>
          <w:p>
            <w:pPr>
              <w:pStyle w:val="Compact"/>
              <w:jc w:val="left"/>
            </w:pPr>
            <w:r>
              <w:t xml:space="preserve">Weekly</w:t>
            </w:r>
          </w:p>
        </w:tc>
      </w:tr>
      <w:tr>
        <w:tc>
          <w:tcPr/>
          <w:p>
            <w:pPr>
              <w:pStyle w:val="Compact"/>
              <w:jc w:val="left"/>
            </w:pPr>
            <w:r>
              <w:t xml:space="preserve">Polymer Breakthrough</w:t>
            </w:r>
          </w:p>
        </w:tc>
        <w:tc>
          <w:tcPr/>
          <w:p>
            <w:pPr>
              <w:pStyle w:val="Compact"/>
              <w:jc w:val="left"/>
            </w:pPr>
            <w:r>
              <w:t xml:space="preserve">Viscosity Analysis of Produced Water</w:t>
            </w:r>
          </w:p>
        </w:tc>
        <w:tc>
          <w:tcPr/>
          <w:p>
            <w:pPr>
              <w:pStyle w:val="Compact"/>
              <w:jc w:val="left"/>
            </w:pPr>
            <w:r>
              <w:t xml:space="preserve">Twice Daily</w:t>
            </w:r>
          </w:p>
        </w:tc>
      </w:tr>
    </w:tbl>
    <w:bookmarkEnd w:id="26"/>
    <w:bookmarkStart w:id="27" w:name="health-safety-and-environment-hse"/>
    <w:p>
      <w:pPr>
        <w:pStyle w:val="Heading2"/>
      </w:pPr>
      <w:r>
        <w:t xml:space="preserve">5. Health, Safety, and Environment (HSE)</w:t>
      </w:r>
    </w:p>
    <w:p>
      <w:pPr>
        <w:pStyle w:val="FirstParagraph"/>
      </w:pPr>
      <w:r>
        <w:t xml:space="preserve">Given the industrial nature of the operations in Tashkent, strict adherence to HSE protocols is mandatory.</w:t>
      </w:r>
    </w:p>
    <w:p>
      <w:pPr>
        <w:numPr>
          <w:ilvl w:val="0"/>
          <w:numId w:val="1004"/>
        </w:numPr>
        <w:pStyle w:val="Compact"/>
      </w:pPr>
      <w:r>
        <w:rPr>
          <w:bCs/>
          <w:b/>
        </w:rPr>
        <w:t xml:space="preserve">Chemical Handling:</w:t>
      </w:r>
      <w:r>
        <w:t xml:space="preserve"> </w:t>
      </w:r>
      <w:r>
        <w:t xml:space="preserve">Personnel must wear appropriate Personal Protective Equipment (PPE) when handling polyacrylamide powder to prevent respiratory irritation.</w:t>
      </w:r>
    </w:p>
    <w:p>
      <w:pPr>
        <w:numPr>
          <w:ilvl w:val="0"/>
          <w:numId w:val="1004"/>
        </w:numPr>
        <w:pStyle w:val="Compact"/>
      </w:pPr>
      <w:r>
        <w:rPr>
          <w:bCs/>
          <w:b/>
        </w:rPr>
        <w:t xml:space="preserve">Environmental Protection:</w:t>
      </w:r>
      <w:r>
        <w:t xml:space="preserve"> </w:t>
      </w:r>
      <w:r>
        <w:t xml:space="preserve">All produced water containing polymer residues must be treated in the on-site facility before reinjection or disposal, in accordance with Uzbekistan's environmental laws.</w:t>
      </w:r>
    </w:p>
    <w:p>
      <w:pPr>
        <w:numPr>
          <w:ilvl w:val="0"/>
          <w:numId w:val="1004"/>
        </w:numPr>
        <w:pStyle w:val="Compact"/>
      </w:pPr>
      <w:r>
        <w:rPr>
          <w:bCs/>
          <w:b/>
        </w:rPr>
        <w:t xml:space="preserve">Emergency Response:</w:t>
      </w:r>
      <w:r>
        <w:t xml:space="preserve"> </w:t>
      </w:r>
      <w:r>
        <w:t xml:space="preserve">A spill response plan is in place, including containment booms and absorbent materials stored at the injection site.</w:t>
      </w:r>
    </w:p>
    <w:bookmarkEnd w:id="27"/>
    <w:bookmarkStart w:id="28" w:name="risk-assessment-and-mitigation"/>
    <w:p>
      <w:pPr>
        <w:pStyle w:val="Heading2"/>
      </w:pPr>
      <w:r>
        <w:t xml:space="preserve">6. Risk Assessment and Mitigation</w:t>
      </w:r>
    </w:p>
    <w:p>
      <w:pPr>
        <w:pStyle w:val="FirstParagraph"/>
      </w:pPr>
      <w:r>
        <w:t xml:space="preserve">The Petroleum Engineer has identified the following key risks:</w:t>
      </w:r>
    </w:p>
    <w:p>
      <w:pPr>
        <w:numPr>
          <w:ilvl w:val="0"/>
          <w:numId w:val="1005"/>
        </w:numPr>
        <w:pStyle w:val="Compact"/>
      </w:pPr>
      <w:r>
        <w:rPr>
          <w:bCs/>
          <w:b/>
        </w:rPr>
        <w:t xml:space="preserve">Wellbore Plugging:</w:t>
      </w:r>
      <w:r>
        <w:t xml:space="preserve"> </w:t>
      </w:r>
      <w:r>
        <w:t xml:space="preserve">Mitigated by pre-flushing and using filtered polymer solutions.</w:t>
      </w:r>
    </w:p>
    <w:p>
      <w:pPr>
        <w:numPr>
          <w:ilvl w:val="0"/>
          <w:numId w:val="1005"/>
        </w:numPr>
        <w:pStyle w:val="Compact"/>
      </w:pPr>
      <w:r>
        <w:rPr>
          <w:bCs/>
          <w:b/>
        </w:rPr>
        <w:t xml:space="preserve">Early Breakthrough:</w:t>
      </w:r>
      <w:r>
        <w:t xml:space="preserve"> </w:t>
      </w:r>
      <w:r>
        <w:t xml:space="preserve">Mitigated by optimizing the injection rate and monitoring tracer data.</w:t>
      </w:r>
    </w:p>
    <w:p>
      <w:pPr>
        <w:numPr>
          <w:ilvl w:val="0"/>
          <w:numId w:val="1005"/>
        </w:numPr>
        <w:pStyle w:val="Compact"/>
      </w:pPr>
      <w:r>
        <w:rPr>
          <w:bCs/>
          <w:b/>
        </w:rPr>
        <w:t xml:space="preserve">Equipment Failure:</w:t>
      </w:r>
      <w:r>
        <w:t xml:space="preserve"> </w:t>
      </w:r>
      <w:r>
        <w:t xml:space="preserve">Mitigated by redundant pump systems and regular maintenance schedules.</w:t>
      </w:r>
    </w:p>
    <w:bookmarkEnd w:id="28"/>
    <w:bookmarkStart w:id="29" w:name="conclusion-and-reporting"/>
    <w:p>
      <w:pPr>
        <w:pStyle w:val="Heading2"/>
      </w:pPr>
      <w:r>
        <w:t xml:space="preserve">7. Conclusion and Reporting</w:t>
      </w:r>
    </w:p>
    <w:p>
      <w:pPr>
        <w:pStyle w:val="FirstParagraph"/>
      </w:pPr>
      <w:r>
        <w:t xml:space="preserve">This Experiment Protocol serves as the governing document for the polymer flooding pilot in the Tashkent region. The data gathered will be analyzed to update the reservoir model and determine the economic viability of scaling up the EOR project across other fields in Uzbekistan. A final technical report will be submitted by the Lead Petroleum Engineer within 30 days of the experiment's conclusion.</w:t>
      </w:r>
    </w:p>
    <w:p>
      <w:pPr>
        <w:pStyle w:val="BodyText"/>
      </w:pPr>
      <w:r>
        <w:rPr>
          <w:bCs/>
          <w:b/>
        </w:rPr>
        <w:t xml:space="preserve">Lead Petroleum Engineer</w:t>
      </w:r>
      <w:r>
        <w:br/>
      </w:r>
      <w:r>
        <w:t xml:space="preserve">Signature: ____________________</w:t>
      </w:r>
    </w:p>
    <w:p>
      <w:pPr>
        <w:pStyle w:val="BodyText"/>
      </w:pPr>
      <w:r>
        <w:rPr>
          <w:bCs/>
          <w:b/>
        </w:rPr>
        <w:t xml:space="preserve">HSE Manager</w:t>
      </w:r>
      <w:r>
        <w:br/>
      </w:r>
      <w:r>
        <w:t xml:space="preserve">Signature: ____________________</w:t>
      </w:r>
    </w:p>
    <w:p>
      <w:pPr>
        <w:pStyle w:val="BodyText"/>
      </w:pPr>
      <w:r>
        <w:rPr>
          <w:bCs/>
          <w:b/>
        </w:rPr>
        <w:t xml:space="preserve">Project Director</w:t>
      </w:r>
      <w:r>
        <w:br/>
      </w:r>
      <w:r>
        <w:t xml:space="preserve">Signature: ____________________</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Enhanced Oil Recovery in Tashkent Basin</dc:title>
  <dc:creator/>
  <dc:language>en</dc:language>
  <cp:keywords/>
  <dcterms:created xsi:type="dcterms:W3CDTF">2026-10-10T04:04:25Z</dcterms:created>
  <dcterms:modified xsi:type="dcterms:W3CDTF">2026-10-10T04:04:25Z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