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Plumbing</w:t>
      </w:r>
      <w:r>
        <w:t xml:space="preserve"> </w:t>
      </w:r>
      <w:r>
        <w:t xml:space="preserve">Infrastructure</w:t>
      </w:r>
      <w:r>
        <w:t xml:space="preserve"> </w:t>
      </w:r>
      <w:r>
        <w:t xml:space="preserve">Assessment</w:t>
      </w:r>
      <w:r>
        <w:t xml:space="preserve"> </w:t>
      </w:r>
      <w:r>
        <w:t xml:space="preserve">in</w:t>
      </w:r>
      <w:r>
        <w:t xml:space="preserve"> </w:t>
      </w:r>
      <w:r>
        <w:t xml:space="preserve">Los</w:t>
      </w:r>
      <w:r>
        <w:t xml:space="preserve"> </w:t>
      </w:r>
      <w:r>
        <w:t xml:space="preserve">Angeles</w:t>
      </w:r>
    </w:p>
    <w:p>
      <w:pPr>
        <w:pStyle w:val="FirstParagraph"/>
      </w:pPr>
      <w:r>
        <w:rPr>
          <w:bCs/>
          <w:b/>
        </w:rPr>
        <w:t xml:space="preserve">Document ID:</w:t>
      </w:r>
      <w:r>
        <w:t xml:space="preserve"> </w:t>
      </w:r>
      <w:r>
        <w:t xml:space="preserve">EXP-LA-PLB-2023-001</w:t>
      </w:r>
    </w:p>
    <w:p>
      <w:pPr>
        <w:pStyle w:val="BodyText"/>
      </w:pPr>
      <w:r>
        <w:rPr>
          <w:bCs/>
          <w:b/>
        </w:rPr>
        <w:t xml:space="preserve">Location:</w:t>
      </w:r>
      <w:r>
        <w:t xml:space="preserve"> </w:t>
      </w:r>
      <w:r>
        <w:t xml:space="preserve">United States, Los Angeles, California</w:t>
      </w:r>
    </w:p>
    <w:p>
      <w:pPr>
        <w:pStyle w:val="BodyText"/>
      </w:pPr>
      <w:r>
        <w:rPr>
          <w:bCs/>
          <w:b/>
        </w:rPr>
        <w:t xml:space="preserve">Subject:</w:t>
      </w:r>
      <w:r>
        <w:t xml:space="preserve"> </w:t>
      </w:r>
      <w:r>
        <w:t xml:space="preserve">Plumber Performance and Infrastructure Integrity Testing</w:t>
      </w:r>
    </w:p>
    <w:p>
      <w:pPr>
        <w:pStyle w:val="BodyText"/>
      </w:pPr>
      <w:r>
        <w:rPr>
          <w:bCs/>
          <w:b/>
        </w:rPr>
        <w:t xml:space="preserve">Date:</w:t>
      </w:r>
      <w:r>
        <w:t xml:space="preserve"> </w:t>
      </w:r>
      <w:r>
        <w:t xml:space="preserve">October 24, 2023</w:t>
      </w:r>
    </w:p>
    <w:bookmarkStart w:id="33" w:name="X1f144945759216f56608f936a90525cb8593fd7"/>
    <w:p>
      <w:pPr>
        <w:pStyle w:val="Heading1"/>
      </w:pPr>
      <w:r>
        <w:t xml:space="preserve">Experiment Protocol: Advanced Plumbing Infrastructure Assessment in Los Angeles</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efficacy, safety, and regulatory compliance of plumbing interventions performed by licensed professionals within the jurisdiction of Los Angeles, United States. The primary objective is to assess the long-term durability and performance of modern plumbing materials and techniques under the specific environmental and geological conditions found in Los Angeles. This includes high water pressure variability, seismic activity considerations, and the prevalence of older infrastructure requiring retrofitting.</w:t>
      </w:r>
    </w:p>
    <w:p>
      <w:pPr>
        <w:pStyle w:val="BodyText"/>
      </w:pPr>
      <w:r>
        <w:t xml:space="preserve">The protocol aims to provide empirical data on the performance of plumbers when utilizing advanced diagnostic tools and sustainable materials, ensuring that residential and commercial plumbing systems meet the stringent requirements of the Los Angeles City Plumbing Code.</w:t>
      </w:r>
    </w:p>
    <w:bookmarkEnd w:id="20"/>
    <w:bookmarkStart w:id="21" w:name="scope-and-applicability"/>
    <w:p>
      <w:pPr>
        <w:pStyle w:val="Heading2"/>
      </w:pPr>
      <w:r>
        <w:t xml:space="preserve">2. Scope and Applicability</w:t>
      </w:r>
    </w:p>
    <w:p>
      <w:pPr>
        <w:pStyle w:val="FirstParagraph"/>
      </w:pPr>
      <w:r>
        <w:t xml:space="preserve">This protocol applies to all plumbing experiments conducted within the city limits of Los Angeles. It covers residential, commercial, and municipal plumbing systems. The scope includes the installation, repair, and maintenance of water supply lines, drainage systems, gas piping, and backflow prevention devices. All participating plumbers must hold a valid C-36 Plumbing Contractor license issued by the Contractors State License Board (CSLB) of California.</w:t>
      </w:r>
    </w:p>
    <w:bookmarkEnd w:id="21"/>
    <w:bookmarkStart w:id="22" w:name="Xc1bf6019d7c7f546cd756b019a9b2d8bdab0c79"/>
    <w:p>
      <w:pPr>
        <w:pStyle w:val="Heading2"/>
      </w:pPr>
      <w:r>
        <w:t xml:space="preserve">3. Regulatory Compliance and Safety Standards</w:t>
      </w:r>
    </w:p>
    <w:p>
      <w:pPr>
        <w:pStyle w:val="FirstParagraph"/>
      </w:pPr>
      <w:r>
        <w:t xml:space="preserve">All experimental procedures must adhere to the following regulations:</w:t>
      </w:r>
    </w:p>
    <w:p>
      <w:pPr>
        <w:numPr>
          <w:ilvl w:val="0"/>
          <w:numId w:val="1001"/>
        </w:numPr>
        <w:pStyle w:val="Compact"/>
      </w:pPr>
      <w:r>
        <w:t xml:space="preserve">Los Angeles City Plumbing Code (LACPC)</w:t>
      </w:r>
    </w:p>
    <w:p>
      <w:pPr>
        <w:numPr>
          <w:ilvl w:val="0"/>
          <w:numId w:val="1001"/>
        </w:numPr>
        <w:pStyle w:val="Compact"/>
      </w:pPr>
      <w:r>
        <w:t xml:space="preserve">California Plumbing Code (CPC)</w:t>
      </w:r>
    </w:p>
    <w:p>
      <w:pPr>
        <w:numPr>
          <w:ilvl w:val="0"/>
          <w:numId w:val="1001"/>
        </w:numPr>
        <w:pStyle w:val="Compact"/>
      </w:pPr>
      <w:r>
        <w:t xml:space="preserve">Occupational Safety and Health Administration (OSHA) standards</w:t>
      </w:r>
    </w:p>
    <w:p>
      <w:pPr>
        <w:numPr>
          <w:ilvl w:val="0"/>
          <w:numId w:val="1001"/>
        </w:numPr>
        <w:pStyle w:val="Compact"/>
      </w:pPr>
      <w:r>
        <w:t xml:space="preserve">Environmental Protection Agency (EPA) guidelines for water quality and lead-free materials</w:t>
      </w:r>
    </w:p>
    <w:p>
      <w:pPr>
        <w:pStyle w:val="FirstParagraph"/>
      </w:pPr>
      <w:r>
        <w:t xml:space="preserve">Safety Warning: All plumbers must wear appropriate personal protective equipment (PPE), including gloves, safety glasses, and steel-toed boots. Proper ventilation must be ensured when working with gas lines or in confined spaces.</w:t>
      </w:r>
    </w:p>
    <w:bookmarkEnd w:id="22"/>
    <w:bookmarkStart w:id="25" w:name="experimental-design"/>
    <w:p>
      <w:pPr>
        <w:pStyle w:val="Heading2"/>
      </w:pPr>
      <w:r>
        <w:t xml:space="preserve">4. Experimental Design</w:t>
      </w:r>
    </w:p>
    <w:bookmarkStart w:id="23" w:name="participant-selection"/>
    <w:p>
      <w:pPr>
        <w:pStyle w:val="Heading3"/>
      </w:pPr>
      <w:r>
        <w:t xml:space="preserve">4.1. Participant Selection</w:t>
      </w:r>
    </w:p>
    <w:p>
      <w:pPr>
        <w:pStyle w:val="FirstParagraph"/>
      </w:pPr>
      <w:r>
        <w:t xml:space="preserve">Participants will be licensed plumbers with at least five years of experience working in Los Angeles. A minimum of 50 plumbers will be selected to ensure statistical significance. Participants will be randomly assigned to one of three experimental groups:</w:t>
      </w:r>
    </w:p>
    <w:p>
      <w:pPr>
        <w:numPr>
          <w:ilvl w:val="0"/>
          <w:numId w:val="1002"/>
        </w:numPr>
        <w:pStyle w:val="Compact"/>
      </w:pPr>
      <w:r>
        <w:rPr>
          <w:bCs/>
          <w:b/>
        </w:rPr>
        <w:t xml:space="preserve">Group A:</w:t>
      </w:r>
      <w:r>
        <w:t xml:space="preserve"> </w:t>
      </w:r>
      <w:r>
        <w:t xml:space="preserve">Traditional materials and techniques</w:t>
      </w:r>
    </w:p>
    <w:p>
      <w:pPr>
        <w:numPr>
          <w:ilvl w:val="0"/>
          <w:numId w:val="1002"/>
        </w:numPr>
        <w:pStyle w:val="Compact"/>
      </w:pPr>
      <w:r>
        <w:rPr>
          <w:bCs/>
          <w:b/>
        </w:rPr>
        <w:t xml:space="preserve">Group B:</w:t>
      </w:r>
      <w:r>
        <w:t xml:space="preserve"> </w:t>
      </w:r>
      <w:r>
        <w:t xml:space="preserve">Advanced polymer-based materials</w:t>
      </w:r>
    </w:p>
    <w:p>
      <w:pPr>
        <w:numPr>
          <w:ilvl w:val="0"/>
          <w:numId w:val="1002"/>
        </w:numPr>
        <w:pStyle w:val="Compact"/>
      </w:pPr>
      <w:r>
        <w:rPr>
          <w:bCs/>
          <w:b/>
        </w:rPr>
        <w:t xml:space="preserve">Group C:</w:t>
      </w:r>
      <w:r>
        <w:t xml:space="preserve"> </w:t>
      </w:r>
      <w:r>
        <w:t xml:space="preserve">Smart plumbing systems with IoT integration</w:t>
      </w:r>
    </w:p>
    <w:bookmarkEnd w:id="23"/>
    <w:bookmarkStart w:id="24" w:name="test-sites"/>
    <w:p>
      <w:pPr>
        <w:pStyle w:val="Heading3"/>
      </w:pPr>
      <w:r>
        <w:t xml:space="preserve">4.2. Test Sites</w:t>
      </w:r>
    </w:p>
    <w:p>
      <w:pPr>
        <w:pStyle w:val="FirstParagraph"/>
      </w:pPr>
      <w:r>
        <w:t xml:space="preserve">Test sites will be selected from various neighborhoods in Los Angeles to account for differences in soil composition, water quality, and building age. Sites will include:</w:t>
      </w:r>
    </w:p>
    <w:p>
      <w:pPr>
        <w:numPr>
          <w:ilvl w:val="0"/>
          <w:numId w:val="1003"/>
        </w:numPr>
        <w:pStyle w:val="Compact"/>
      </w:pPr>
      <w:r>
        <w:t xml:space="preserve">Older residential buildings (pre-1970)</w:t>
      </w:r>
    </w:p>
    <w:p>
      <w:pPr>
        <w:numPr>
          <w:ilvl w:val="0"/>
          <w:numId w:val="1003"/>
        </w:numPr>
        <w:pStyle w:val="Compact"/>
      </w:pPr>
      <w:r>
        <w:t xml:space="preserve">Newer residential constructions (post-2010)</w:t>
      </w:r>
    </w:p>
    <w:p>
      <w:pPr>
        <w:numPr>
          <w:ilvl w:val="0"/>
          <w:numId w:val="1003"/>
        </w:numPr>
        <w:pStyle w:val="Compact"/>
      </w:pPr>
      <w:r>
        <w:t xml:space="preserve">Commercial buildings with high water usage</w:t>
      </w:r>
    </w:p>
    <w:bookmarkEnd w:id="24"/>
    <w:bookmarkEnd w:id="25"/>
    <w:bookmarkStart w:id="29" w:name="methodology"/>
    <w:p>
      <w:pPr>
        <w:pStyle w:val="Heading2"/>
      </w:pPr>
      <w:r>
        <w:t xml:space="preserve">5. Methodology</w:t>
      </w:r>
    </w:p>
    <w:bookmarkStart w:id="26" w:name="pre-experiment-assessment"/>
    <w:p>
      <w:pPr>
        <w:pStyle w:val="Heading3"/>
      </w:pPr>
      <w:r>
        <w:t xml:space="preserve">5.1. Pre-Experiment Assessment</w:t>
      </w:r>
    </w:p>
    <w:p>
      <w:pPr>
        <w:pStyle w:val="FirstParagraph"/>
      </w:pPr>
      <w:r>
        <w:t xml:space="preserve">Before the experiment begins, a comprehensive assessment of each test site will be conducted. This includes:</w:t>
      </w:r>
    </w:p>
    <w:p>
      <w:pPr>
        <w:numPr>
          <w:ilvl w:val="0"/>
          <w:numId w:val="1004"/>
        </w:numPr>
        <w:pStyle w:val="Compact"/>
      </w:pPr>
      <w:r>
        <w:t xml:space="preserve">Visual inspection of existing plumbing infrastructure</w:t>
      </w:r>
    </w:p>
    <w:p>
      <w:pPr>
        <w:numPr>
          <w:ilvl w:val="0"/>
          <w:numId w:val="1004"/>
        </w:numPr>
        <w:pStyle w:val="Compact"/>
      </w:pPr>
      <w:r>
        <w:t xml:space="preserve">Water pressure testing</w:t>
      </w:r>
    </w:p>
    <w:p>
      <w:pPr>
        <w:numPr>
          <w:ilvl w:val="0"/>
          <w:numId w:val="1004"/>
        </w:numPr>
        <w:pStyle w:val="Compact"/>
      </w:pPr>
      <w:r>
        <w:t xml:space="preserve">Water quality analysis</w:t>
      </w:r>
    </w:p>
    <w:p>
      <w:pPr>
        <w:numPr>
          <w:ilvl w:val="0"/>
          <w:numId w:val="1004"/>
        </w:numPr>
        <w:pStyle w:val="Compact"/>
      </w:pPr>
      <w:r>
        <w:t xml:space="preserve">Documentation of any existing leaks or deficiencies</w:t>
      </w:r>
    </w:p>
    <w:bookmarkEnd w:id="26"/>
    <w:bookmarkStart w:id="27" w:name="intervention-procedures"/>
    <w:p>
      <w:pPr>
        <w:pStyle w:val="Heading3"/>
      </w:pPr>
      <w:r>
        <w:t xml:space="preserve">5.2. Intervention Procedures</w:t>
      </w:r>
    </w:p>
    <w:p>
      <w:pPr>
        <w:pStyle w:val="FirstParagraph"/>
      </w:pPr>
      <w:r>
        <w:t xml:space="preserve">Each group of plumbers will perform specific interventions based on their assigned group:</w:t>
      </w:r>
    </w:p>
    <w:p>
      <w:pPr>
        <w:numPr>
          <w:ilvl w:val="0"/>
          <w:numId w:val="1005"/>
        </w:numPr>
        <w:pStyle w:val="Compact"/>
      </w:pPr>
      <w:r>
        <w:rPr>
          <w:bCs/>
          <w:b/>
        </w:rPr>
        <w:t xml:space="preserve">Group A:</w:t>
      </w:r>
      <w:r>
        <w:t xml:space="preserve"> </w:t>
      </w:r>
      <w:r>
        <w:t xml:space="preserve">Install or repair plumbing using traditional copper pipes and standard fittings.</w:t>
      </w:r>
    </w:p>
    <w:p>
      <w:pPr>
        <w:numPr>
          <w:ilvl w:val="0"/>
          <w:numId w:val="1005"/>
        </w:numPr>
        <w:pStyle w:val="Compact"/>
      </w:pPr>
      <w:r>
        <w:rPr>
          <w:bCs/>
          <w:b/>
        </w:rPr>
        <w:t xml:space="preserve">Group B:</w:t>
      </w:r>
      <w:r>
        <w:t xml:space="preserve"> </w:t>
      </w:r>
      <w:r>
        <w:t xml:space="preserve">Use advanced polymer-based pipes (e.g., PEX, CPVC) and modern fittings.</w:t>
      </w:r>
    </w:p>
    <w:p>
      <w:pPr>
        <w:numPr>
          <w:ilvl w:val="0"/>
          <w:numId w:val="1005"/>
        </w:numPr>
        <w:pStyle w:val="Compact"/>
      </w:pPr>
      <w:r>
        <w:rPr>
          <w:bCs/>
          <w:b/>
        </w:rPr>
        <w:t xml:space="preserve">Group C:</w:t>
      </w:r>
      <w:r>
        <w:t xml:space="preserve"> </w:t>
      </w:r>
      <w:r>
        <w:t xml:space="preserve">Install smart plumbing systems with sensors for leak detection, water usage monitoring, and remote control capabilities.</w:t>
      </w:r>
    </w:p>
    <w:p>
      <w:pPr>
        <w:pStyle w:val="FirstParagraph"/>
      </w:pPr>
      <w:r>
        <w:t xml:space="preserve">All interventions must be performed according to the manufacturer's specifications and local plumbing codes. Detailed records of materials used, installation techniques, and time taken will be maintained.</w:t>
      </w:r>
    </w:p>
    <w:bookmarkEnd w:id="27"/>
    <w:bookmarkStart w:id="28" w:name="post-experiment-evaluation"/>
    <w:p>
      <w:pPr>
        <w:pStyle w:val="Heading3"/>
      </w:pPr>
      <w:r>
        <w:t xml:space="preserve">5.3. Post-Experiment Evaluation</w:t>
      </w:r>
    </w:p>
    <w:p>
      <w:pPr>
        <w:pStyle w:val="FirstParagraph"/>
      </w:pPr>
      <w:r>
        <w:t xml:space="preserve">After the interventions, a series of tests will be conducted to evaluate the performance of the plumbing systems:</w:t>
      </w:r>
    </w:p>
    <w:p>
      <w:pPr>
        <w:numPr>
          <w:ilvl w:val="0"/>
          <w:numId w:val="1006"/>
        </w:numPr>
        <w:pStyle w:val="Compact"/>
      </w:pPr>
      <w:r>
        <w:t xml:space="preserve">Pressure testing to ensure no leaks</w:t>
      </w:r>
    </w:p>
    <w:p>
      <w:pPr>
        <w:numPr>
          <w:ilvl w:val="0"/>
          <w:numId w:val="1006"/>
        </w:numPr>
        <w:pStyle w:val="Compact"/>
      </w:pPr>
      <w:r>
        <w:t xml:space="preserve">Flow rate measurements</w:t>
      </w:r>
    </w:p>
    <w:p>
      <w:pPr>
        <w:numPr>
          <w:ilvl w:val="0"/>
          <w:numId w:val="1006"/>
        </w:numPr>
        <w:pStyle w:val="Compact"/>
      </w:pPr>
      <w:r>
        <w:t xml:space="preserve">Water quality testing</w:t>
      </w:r>
    </w:p>
    <w:p>
      <w:pPr>
        <w:numPr>
          <w:ilvl w:val="0"/>
          <w:numId w:val="1006"/>
        </w:numPr>
        <w:pStyle w:val="Compact"/>
      </w:pPr>
      <w:r>
        <w:t xml:space="preserve">Functional testing of smart systems (Group C)</w:t>
      </w:r>
    </w:p>
    <w:p>
      <w:pPr>
        <w:pStyle w:val="FirstParagraph"/>
      </w:pPr>
      <w:r>
        <w:t xml:space="preserve">Long-term monitoring will be conducted over a period of 12 months to assess the durability and reliability of the installed systems. Data will be collected on:</w:t>
      </w:r>
    </w:p>
    <w:p>
      <w:pPr>
        <w:numPr>
          <w:ilvl w:val="0"/>
          <w:numId w:val="1007"/>
        </w:numPr>
        <w:pStyle w:val="Compact"/>
      </w:pPr>
      <w:r>
        <w:t xml:space="preserve">Frequency of leaks or failures</w:t>
      </w:r>
    </w:p>
    <w:p>
      <w:pPr>
        <w:numPr>
          <w:ilvl w:val="0"/>
          <w:numId w:val="1007"/>
        </w:numPr>
        <w:pStyle w:val="Compact"/>
      </w:pPr>
      <w:r>
        <w:t xml:space="preserve">Water usage patterns</w:t>
      </w:r>
    </w:p>
    <w:p>
      <w:pPr>
        <w:numPr>
          <w:ilvl w:val="0"/>
          <w:numId w:val="1007"/>
        </w:numPr>
        <w:pStyle w:val="Compact"/>
      </w:pPr>
      <w:r>
        <w:t xml:space="preserve">Customer satisfaction</w:t>
      </w:r>
    </w:p>
    <w:p>
      <w:pPr>
        <w:numPr>
          <w:ilvl w:val="0"/>
          <w:numId w:val="1007"/>
        </w:numPr>
        <w:pStyle w:val="Compact"/>
      </w:pPr>
      <w:r>
        <w:t xml:space="preserve">Maintenance requirements</w:t>
      </w:r>
    </w:p>
    <w:bookmarkEnd w:id="28"/>
    <w:bookmarkEnd w:id="29"/>
    <w:bookmarkStart w:id="30" w:name="data-collection-and-analysis"/>
    <w:p>
      <w:pPr>
        <w:pStyle w:val="Heading2"/>
      </w:pPr>
      <w:r>
        <w:t xml:space="preserve">6. Data Collection and Analysis</w:t>
      </w:r>
    </w:p>
    <w:p>
      <w:pPr>
        <w:pStyle w:val="FirstParagraph"/>
      </w:pPr>
      <w:r>
        <w:t xml:space="preserve">Data will be collected using standardized forms and digital tools.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Unit of Measurement</w:t>
            </w:r>
          </w:p>
        </w:tc>
      </w:tr>
      <w:tr>
        <w:tc>
          <w:tcPr/>
          <w:p>
            <w:pPr>
              <w:pStyle w:val="Compact"/>
              <w:jc w:val="left"/>
            </w:pPr>
            <w:r>
              <w:t xml:space="preserve">Leak Frequency</w:t>
            </w:r>
          </w:p>
        </w:tc>
        <w:tc>
          <w:tcPr/>
          <w:p>
            <w:pPr>
              <w:pStyle w:val="Compact"/>
              <w:jc w:val="left"/>
            </w:pPr>
            <w:r>
              <w:t xml:space="preserve">Number of leaks reported per system</w:t>
            </w:r>
          </w:p>
        </w:tc>
        <w:tc>
          <w:tcPr/>
          <w:p>
            <w:pPr>
              <w:pStyle w:val="Compact"/>
              <w:jc w:val="left"/>
            </w:pPr>
            <w:r>
              <w:t xml:space="preserve">Count</w:t>
            </w:r>
          </w:p>
        </w:tc>
      </w:tr>
      <w:tr>
        <w:tc>
          <w:tcPr/>
          <w:p>
            <w:pPr>
              <w:pStyle w:val="Compact"/>
              <w:jc w:val="left"/>
            </w:pPr>
            <w:r>
              <w:t xml:space="preserve">Water Pressure</w:t>
            </w:r>
          </w:p>
        </w:tc>
        <w:tc>
          <w:tcPr/>
          <w:p>
            <w:pPr>
              <w:pStyle w:val="Compact"/>
              <w:jc w:val="left"/>
            </w:pPr>
            <w:r>
              <w:t xml:space="preserve">Measured at various points in the system</w:t>
            </w:r>
          </w:p>
        </w:tc>
        <w:tc>
          <w:tcPr/>
          <w:p>
            <w:pPr>
              <w:pStyle w:val="Compact"/>
              <w:jc w:val="left"/>
            </w:pPr>
            <w:r>
              <w:t xml:space="preserve">PSI</w:t>
            </w:r>
          </w:p>
        </w:tc>
      </w:tr>
      <w:tr>
        <w:tc>
          <w:tcPr/>
          <w:p>
            <w:pPr>
              <w:pStyle w:val="Compact"/>
              <w:jc w:val="left"/>
            </w:pPr>
            <w:r>
              <w:t xml:space="preserve">Flow Rate</w:t>
            </w:r>
          </w:p>
        </w:tc>
        <w:tc>
          <w:tcPr/>
          <w:p>
            <w:pPr>
              <w:pStyle w:val="Compact"/>
              <w:jc w:val="left"/>
            </w:pPr>
            <w:r>
              <w:t xml:space="preserve">Volume of water flowing per unit time</w:t>
            </w:r>
          </w:p>
        </w:tc>
        <w:tc>
          <w:tcPr/>
          <w:p>
            <w:pPr>
              <w:pStyle w:val="Compact"/>
              <w:jc w:val="left"/>
            </w:pPr>
            <w:r>
              <w:t xml:space="preserve">GPM</w:t>
            </w:r>
          </w:p>
        </w:tc>
      </w:tr>
      <w:tr>
        <w:tc>
          <w:tcPr/>
          <w:p>
            <w:pPr>
              <w:pStyle w:val="Compact"/>
              <w:jc w:val="left"/>
            </w:pPr>
            <w:r>
              <w:t xml:space="preserve">Installation Time</w:t>
            </w:r>
          </w:p>
        </w:tc>
        <w:tc>
          <w:tcPr/>
          <w:p>
            <w:pPr>
              <w:pStyle w:val="Compact"/>
              <w:jc w:val="left"/>
            </w:pPr>
            <w:r>
              <w:t xml:space="preserve">Time taken to complete the intervention</w:t>
            </w:r>
          </w:p>
        </w:tc>
        <w:tc>
          <w:tcPr/>
          <w:p>
            <w:pPr>
              <w:pStyle w:val="Compact"/>
              <w:jc w:val="left"/>
            </w:pPr>
            <w:r>
              <w:t xml:space="preserve">Hours</w:t>
            </w:r>
          </w:p>
        </w:tc>
      </w:tr>
      <w:tr>
        <w:tc>
          <w:tcPr/>
          <w:p>
            <w:pPr>
              <w:pStyle w:val="Compact"/>
              <w:jc w:val="left"/>
            </w:pPr>
            <w:r>
              <w:t xml:space="preserve">Cost</w:t>
            </w:r>
          </w:p>
        </w:tc>
        <w:tc>
          <w:tcPr/>
          <w:p>
            <w:pPr>
              <w:pStyle w:val="Compact"/>
              <w:jc w:val="left"/>
            </w:pPr>
            <w:r>
              <w:t xml:space="preserve">Total cost of materials and labor</w:t>
            </w:r>
          </w:p>
        </w:tc>
        <w:tc>
          <w:tcPr/>
          <w:p>
            <w:pPr>
              <w:pStyle w:val="Compact"/>
              <w:jc w:val="left"/>
            </w:pPr>
            <w:r>
              <w:t xml:space="preserve">USD</w:t>
            </w:r>
          </w:p>
        </w:tc>
      </w:tr>
    </w:tbl>
    <w:p>
      <w:pPr>
        <w:pStyle w:val="BodyText"/>
      </w:pPr>
      <w:r>
        <w:t xml:space="preserve">Data will be analyzed using statistical methods to determine the effectiveness of each group's interventions. Comparisons will be made between groups to identify best practices and areas for improvement.</w:t>
      </w:r>
    </w:p>
    <w:bookmarkEnd w:id="30"/>
    <w:bookmarkStart w:id="31" w:name="ethical-considerations"/>
    <w:p>
      <w:pPr>
        <w:pStyle w:val="Heading2"/>
      </w:pPr>
      <w:r>
        <w:t xml:space="preserve">7. Ethical Considerations</w:t>
      </w:r>
    </w:p>
    <w:p>
      <w:pPr>
        <w:pStyle w:val="FirstParagraph"/>
      </w:pPr>
      <w:r>
        <w:t xml:space="preserve">All participants will provide informed consent before joining the experiment. Confidentiality of personal and business information will be maintained. Any adverse events or safety incidents will be reported immediately to the relevant authorities.</w:t>
      </w:r>
    </w:p>
    <w:bookmarkEnd w:id="31"/>
    <w:bookmarkStart w:id="32" w:name="conclusion"/>
    <w:p>
      <w:pPr>
        <w:pStyle w:val="Heading2"/>
      </w:pPr>
      <w:r>
        <w:t xml:space="preserve">8. Conclusion</w:t>
      </w:r>
    </w:p>
    <w:p>
      <w:pPr>
        <w:pStyle w:val="FirstParagraph"/>
      </w:pPr>
      <w:r>
        <w:t xml:space="preserve">This Experiment Protocol provides a structured approach to evaluating the performance of plumbers and plumbing systems in Los Angeles. By adhering to this protocol, we aim to enhance the quality and safety of plumbing services in the region, ultimately benefiting residents and businesses alike.</w:t>
      </w:r>
    </w:p>
    <w:p>
      <w:pPr>
        <w:pStyle w:val="BodyText"/>
      </w:pPr>
      <w:r>
        <w:rPr>
          <w:bCs/>
          <w:b/>
        </w:rPr>
        <w:t xml:space="preserve">Prepared by:</w:t>
      </w:r>
      <w:r>
        <w:t xml:space="preserve"> </w:t>
      </w:r>
      <w:r>
        <w:t xml:space="preserve">[Your Name]</w:t>
      </w:r>
    </w:p>
    <w:p>
      <w:pPr>
        <w:pStyle w:val="BodyText"/>
      </w:pPr>
      <w:r>
        <w:rPr>
          <w:bCs/>
          <w:b/>
        </w:rPr>
        <w:t xml:space="preserve">Title:</w:t>
      </w:r>
      <w:r>
        <w:t xml:space="preserve"> </w:t>
      </w:r>
      <w:r>
        <w:t xml:space="preserve">Lead Researcher</w:t>
      </w:r>
    </w:p>
    <w:p>
      <w:pPr>
        <w:pStyle w:val="BodyText"/>
      </w:pPr>
      <w:r>
        <w:rPr>
          <w:bCs/>
          <w:b/>
        </w:rPr>
        <w:t xml:space="preserve">Organization:</w:t>
      </w:r>
      <w:r>
        <w:t xml:space="preserve"> </w:t>
      </w:r>
      <w:r>
        <w:t xml:space="preserve">Los Angeles Plumbing Research Institute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Plumbing Infrastructure Assessment in Los Angeles</dc:title>
  <dc:creator/>
  <dc:language>en</dc:language>
  <cp:keywords/>
  <dcterms:created xsi:type="dcterms:W3CDTF">2026-10-10T03:14:12Z</dcterms:created>
  <dcterms:modified xsi:type="dcterms:W3CDTF">2026-10-10T03:14:12Z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