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Australia</w:t>
      </w:r>
      <w:r>
        <w:t xml:space="preserve"> </w:t>
      </w:r>
      <w:r>
        <w:t xml:space="preserve">Brisbane</w:t>
      </w:r>
    </w:p>
    <w:bookmarkStart w:id="34" w:name="X42b1fbb4e69c7e207bb04908898ac9fa7a189e0"/>
    <w:p>
      <w:pPr>
        <w:pStyle w:val="Heading1"/>
      </w:pPr>
      <w:r>
        <w:t xml:space="preserve">Experiment Protocol: Politician Engagement and Policy Communication in Australia Brisbane</w:t>
      </w:r>
    </w:p>
    <w:bookmarkStart w:id="20" w:name="introduction"/>
    <w:p>
      <w:pPr>
        <w:pStyle w:val="Heading2"/>
      </w:pPr>
      <w:r>
        <w:t xml:space="preserve">1. Introduction</w:t>
      </w:r>
    </w:p>
    <w:p>
      <w:pPr>
        <w:pStyle w:val="FirstParagraph"/>
      </w:pPr>
      <w:r>
        <w:t xml:space="preserve">This Experiment Protocol outlines the methodology for conducting a structured study on how Politician communication strategies influence public perception and civic engagement in Australia Brisbane. The research aims to evaluate the effectiveness of different communication approaches used by Politician representatives in engaging with constituents across Brisbane's diverse communities.</w:t>
      </w:r>
    </w:p>
    <w:p>
      <w:pPr>
        <w:pStyle w:val="BodyText"/>
      </w:pPr>
      <w:r>
        <w:t xml:space="preserve">As Australia Brisbane continues to grow as a major urban center, understanding the dynamics between Politician representatives and their constituents becomes increasingly important. This protocol establishes a rigorous framework for examining these interactions while maintaining ethical standards and scientific integrity.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how different Politician communication styles affect constituent trust levels in Australia Brisbane</w:t>
      </w:r>
    </w:p>
    <w:p>
      <w:pPr>
        <w:numPr>
          <w:ilvl w:val="0"/>
          <w:numId w:val="1001"/>
        </w:numPr>
        <w:pStyle w:val="Compact"/>
      </w:pPr>
      <w:r>
        <w:t xml:space="preserve">To measure the impact of Politician accessibility on civic participation rates</w:t>
      </w:r>
    </w:p>
    <w:p>
      <w:pPr>
        <w:numPr>
          <w:ilvl w:val="0"/>
          <w:numId w:val="1001"/>
        </w:numPr>
        <w:pStyle w:val="Compact"/>
      </w:pPr>
      <w:r>
        <w:t xml:space="preserve">To evaluate the effectiveness of digital versus traditional communication methods employed by Politician representatives</w:t>
      </w:r>
    </w:p>
    <w:p>
      <w:pPr>
        <w:numPr>
          <w:ilvl w:val="0"/>
          <w:numId w:val="1001"/>
        </w:numPr>
        <w:pStyle w:val="Compact"/>
      </w:pPr>
      <w:r>
        <w:t xml:space="preserve">To identify demographic factors that influence how constituents in Australia Brisbane respond to Politician messaging</w:t>
      </w:r>
    </w:p>
    <w:p>
      <w:pPr>
        <w:numPr>
          <w:ilvl w:val="0"/>
          <w:numId w:val="1001"/>
        </w:numPr>
        <w:pStyle w:val="Compact"/>
      </w:pPr>
      <w:r>
        <w:t xml:space="preserve">To develop evidence-based recommendations for improving Politician-constituent relationships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interviews. The study will be conducted across multiple electoral districts within Australia Brisbane to ensure representative sampling.</w:t>
      </w:r>
    </w:p>
    <w:bookmarkEnd w:id="22"/>
    <w:bookmarkStart w:id="23" w:name="participant-selection"/>
    <w:p>
      <w:pPr>
        <w:pStyle w:val="Heading3"/>
      </w:pPr>
      <w:r>
        <w:t xml:space="preserve">3.2 Participant Selection</w:t>
      </w:r>
    </w:p>
    <w:p>
      <w:pPr>
        <w:pStyle w:val="FirstParagraph"/>
      </w:pPr>
      <w:r>
        <w:t xml:space="preserve">Participants will be selected through stratified random sampling to ensure representation across:</w:t>
      </w:r>
    </w:p>
    <w:p>
      <w:pPr>
        <w:numPr>
          <w:ilvl w:val="0"/>
          <w:numId w:val="1002"/>
        </w:numPr>
        <w:pStyle w:val="Compact"/>
      </w:pPr>
      <w:r>
        <w:t xml:space="preserve">Age groups (18-29, 30-44, 45-64, 65+)</w:t>
      </w:r>
    </w:p>
    <w:p>
      <w:pPr>
        <w:numPr>
          <w:ilvl w:val="0"/>
          <w:numId w:val="1002"/>
        </w:numPr>
        <w:pStyle w:val="Compact"/>
      </w:pPr>
      <w:r>
        <w:t xml:space="preserve">Geographic locations within Australia Brisbane (inner city, suburbs, outer regions)</w:t>
      </w:r>
    </w:p>
    <w:p>
      <w:pPr>
        <w:numPr>
          <w:ilvl w:val="0"/>
          <w:numId w:val="1002"/>
        </w:numPr>
        <w:pStyle w:val="Compact"/>
      </w:pPr>
      <w:r>
        <w:t xml:space="preserve">Socioeconomic backgrounds</w:t>
      </w:r>
    </w:p>
    <w:p>
      <w:pPr>
        <w:numPr>
          <w:ilvl w:val="0"/>
          <w:numId w:val="1002"/>
        </w:numPr>
        <w:pStyle w:val="Compact"/>
      </w:pPr>
      <w:r>
        <w:t xml:space="preserve">Political affiliation levels</w:t>
      </w:r>
    </w:p>
    <w:p>
      <w:pPr>
        <w:pStyle w:val="FirstParagraph"/>
      </w:pPr>
      <w:r>
        <w:t xml:space="preserve">The target sample size is 1,200 participants, with an additional 50 in-depth interviews to provide qualitative insights.</w:t>
      </w:r>
    </w:p>
    <w:bookmarkEnd w:id="23"/>
    <w:bookmarkStart w:id="24" w:name="politician-communication-scenarios"/>
    <w:p>
      <w:pPr>
        <w:pStyle w:val="Heading3"/>
      </w:pPr>
      <w:r>
        <w:t xml:space="preserve">3.3 Politician Communication Scenarios</w:t>
      </w:r>
    </w:p>
    <w:p>
      <w:pPr>
        <w:pStyle w:val="FirstParagraph"/>
      </w:pPr>
      <w:r>
        <w:t xml:space="preserve">The experiment will present participants with standardized Politician communication scenarios covering:</w:t>
      </w:r>
    </w:p>
    <w:p>
      <w:pPr>
        <w:numPr>
          <w:ilvl w:val="0"/>
          <w:numId w:val="1003"/>
        </w:numPr>
        <w:pStyle w:val="Compact"/>
      </w:pPr>
      <w:r>
        <w:t xml:space="preserve">Policy announcements regarding local infrastructure in Australia Brisbane</w:t>
      </w:r>
    </w:p>
    <w:p>
      <w:pPr>
        <w:numPr>
          <w:ilvl w:val="0"/>
          <w:numId w:val="1003"/>
        </w:numPr>
        <w:pStyle w:val="Compact"/>
      </w:pPr>
      <w:r>
        <w:t xml:space="preserve">Community consultation processes</w:t>
      </w:r>
    </w:p>
    <w:p>
      <w:pPr>
        <w:numPr>
          <w:ilvl w:val="0"/>
          <w:numId w:val="1003"/>
        </w:numPr>
        <w:pStyle w:val="Compact"/>
      </w:pPr>
      <w:r>
        <w:t xml:space="preserve">Crisis communication during local emergencies</w:t>
      </w:r>
    </w:p>
    <w:p>
      <w:pPr>
        <w:numPr>
          <w:ilvl w:val="0"/>
          <w:numId w:val="1003"/>
        </w:numPr>
        <w:pStyle w:val="Compact"/>
      </w:pPr>
      <w:r>
        <w:t xml:space="preserve">Regular constituent updates and engagement activities</w:t>
      </w:r>
    </w:p>
    <w:p>
      <w:pPr>
        <w:pStyle w:val="FirstParagraph"/>
      </w:pPr>
      <w:r>
        <w:t xml:space="preserve">Each scenario will be presented in multiple formats (social media posts, email newsletters, town hall meeting transcripts, and traditional media statements) to assess format effectiveness.</w:t>
      </w:r>
    </w:p>
    <w:bookmarkEnd w:id="24"/>
    <w:bookmarkEnd w:id="25"/>
    <w:bookmarkStart w:id="29" w:name="data-collection-procedures"/>
    <w:p>
      <w:pPr>
        <w:pStyle w:val="Heading2"/>
      </w:pPr>
      <w:r>
        <w:t xml:space="preserve">4. Data Collection Procedures</w:t>
      </w:r>
    </w:p>
    <w:bookmarkStart w:id="26" w:name="survey-instrument"/>
    <w:p>
      <w:pPr>
        <w:pStyle w:val="Heading3"/>
      </w:pPr>
      <w:r>
        <w:t xml:space="preserve">4.1 Survey Instrument</w:t>
      </w:r>
    </w:p>
    <w:p>
      <w:pPr>
        <w:pStyle w:val="FirstParagraph"/>
      </w:pPr>
      <w:r>
        <w:t xml:space="preserve">The primary data collection tool will be a structured questionnaire measuring:</w:t>
      </w:r>
    </w:p>
    <w:p>
      <w:pPr>
        <w:numPr>
          <w:ilvl w:val="0"/>
          <w:numId w:val="1004"/>
        </w:numPr>
        <w:pStyle w:val="Compact"/>
      </w:pPr>
      <w:r>
        <w:t xml:space="preserve">Trust levels in Politician representatives</w:t>
      </w:r>
    </w:p>
    <w:p>
      <w:pPr>
        <w:numPr>
          <w:ilvl w:val="0"/>
          <w:numId w:val="1004"/>
        </w:numPr>
        <w:pStyle w:val="Compact"/>
      </w:pPr>
      <w:r>
        <w:t xml:space="preserve">Perceived transparency of Politician communication</w:t>
      </w:r>
    </w:p>
    <w:p>
      <w:pPr>
        <w:numPr>
          <w:ilvl w:val="0"/>
          <w:numId w:val="1004"/>
        </w:numPr>
        <w:pStyle w:val="Compact"/>
      </w:pPr>
      <w:r>
        <w:t xml:space="preserve">Intentions to participate in civic activities</w:t>
      </w:r>
    </w:p>
    <w:p>
      <w:pPr>
        <w:numPr>
          <w:ilvl w:val="0"/>
          <w:numId w:val="1004"/>
        </w:numPr>
        <w:pStyle w:val="Compact"/>
      </w:pPr>
      <w:r>
        <w:t xml:space="preserve">Satisfaction with Politician accessibility</w:t>
      </w:r>
    </w:p>
    <w:p>
      <w:pPr>
        <w:numPr>
          <w:ilvl w:val="0"/>
          <w:numId w:val="1004"/>
        </w:numPr>
        <w:pStyle w:val="Compact"/>
      </w:pPr>
      <w:r>
        <w:t xml:space="preserve">Understanding of policy positions</w:t>
      </w:r>
    </w:p>
    <w:bookmarkEnd w:id="26"/>
    <w:bookmarkStart w:id="27" w:name="interview-protocol"/>
    <w:p>
      <w:pPr>
        <w:pStyle w:val="Heading3"/>
      </w:pPr>
      <w:r>
        <w:t xml:space="preserve">4.2 Interview Protocol</w:t>
      </w:r>
    </w:p>
    <w:p>
      <w:pPr>
        <w:pStyle w:val="FirstParagraph"/>
      </w:pPr>
      <w:r>
        <w:t xml:space="preserve">Semi-structured interviews will explore:</w:t>
      </w:r>
    </w:p>
    <w:p>
      <w:pPr>
        <w:numPr>
          <w:ilvl w:val="0"/>
          <w:numId w:val="1005"/>
        </w:numPr>
        <w:pStyle w:val="Compact"/>
      </w:pPr>
      <w:r>
        <w:t xml:space="preserve">Personal experiences with Politician representatives in Australia Brisbane</w:t>
      </w:r>
    </w:p>
    <w:p>
      <w:pPr>
        <w:numPr>
          <w:ilvl w:val="0"/>
          <w:numId w:val="1005"/>
        </w:numPr>
        <w:pStyle w:val="Compact"/>
      </w:pPr>
      <w:r>
        <w:t xml:space="preserve">Preferred communication channels</w:t>
      </w:r>
    </w:p>
    <w:p>
      <w:pPr>
        <w:numPr>
          <w:ilvl w:val="0"/>
          <w:numId w:val="1005"/>
        </w:numPr>
        <w:pStyle w:val="Compact"/>
      </w:pPr>
      <w:r>
        <w:t xml:space="preserve">Barriers to effective Politician-constituent communication</w:t>
      </w:r>
    </w:p>
    <w:p>
      <w:pPr>
        <w:numPr>
          <w:ilvl w:val="0"/>
          <w:numId w:val="1005"/>
        </w:numPr>
        <w:pStyle w:val="Compact"/>
      </w:pPr>
      <w:r>
        <w:t xml:space="preserve">Suggestions for improvement</w:t>
      </w:r>
    </w:p>
    <w:bookmarkEnd w:id="27"/>
    <w:bookmarkStart w:id="28" w:name="timeline"/>
    <w:p>
      <w:pPr>
        <w:pStyle w:val="Heading3"/>
      </w:pPr>
      <w:r>
        <w:t xml:space="preserve">4.3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Instrument development, ethics approval, recruitment planning</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Survey distribution, interviews, Politician communication monitoring</w:t>
            </w:r>
          </w:p>
        </w:tc>
      </w:tr>
      <w:tr>
        <w:tc>
          <w:tcPr/>
          <w:p>
            <w:pPr>
              <w:pStyle w:val="Compact"/>
              <w:jc w:val="left"/>
            </w:pPr>
            <w:r>
              <w:t xml:space="preserve">Analysis</w:t>
            </w:r>
          </w:p>
        </w:tc>
        <w:tc>
          <w:tcPr/>
          <w:p>
            <w:pPr>
              <w:pStyle w:val="Compact"/>
              <w:jc w:val="left"/>
            </w:pPr>
            <w:r>
              <w:t xml:space="preserve">6 weeks</w:t>
            </w:r>
          </w:p>
        </w:tc>
        <w:tc>
          <w:tcPr/>
          <w:p>
            <w:pPr>
              <w:pStyle w:val="Compact"/>
              <w:jc w:val="left"/>
            </w:pPr>
            <w:r>
              <w:t xml:space="preserve">Data processing, statistical analysis, thematic coding</w:t>
            </w:r>
          </w:p>
        </w:tc>
      </w:tr>
      <w:tr>
        <w:tc>
          <w:tcPr/>
          <w:p>
            <w:pPr>
              <w:pStyle w:val="Compact"/>
              <w:jc w:val="left"/>
            </w:pPr>
            <w:r>
              <w:t xml:space="preserve">Reporting</w:t>
            </w:r>
          </w:p>
        </w:tc>
        <w:tc>
          <w:tcPr/>
          <w:p>
            <w:pPr>
              <w:pStyle w:val="Compact"/>
              <w:jc w:val="left"/>
            </w:pPr>
            <w:r>
              <w:t xml:space="preserve">4 weeks</w:t>
            </w:r>
          </w:p>
        </w:tc>
        <w:tc>
          <w:tcPr/>
          <w:p>
            <w:pPr>
              <w:pStyle w:val="Compact"/>
              <w:jc w:val="left"/>
            </w:pPr>
            <w:r>
              <w:t xml:space="preserve">Report writing, stakeholder presentations</w:t>
            </w:r>
          </w:p>
        </w:tc>
      </w:tr>
    </w:tbl>
    <w:bookmarkEnd w:id="28"/>
    <w:bookmarkEnd w:id="29"/>
    <w:bookmarkStart w:id="30" w:name="ethical-considerations"/>
    <w:p>
      <w:pPr>
        <w:pStyle w:val="Heading2"/>
      </w:pPr>
      <w:r>
        <w:t xml:space="preserve">5. Ethical Considerations</w:t>
      </w:r>
    </w:p>
    <w:p>
      <w:pPr>
        <w:pStyle w:val="FirstParagraph"/>
      </w:pPr>
      <w:r>
        <w:t xml:space="preserve">This experiment will adhere to strict ethical guidelines including:</w:t>
      </w:r>
    </w:p>
    <w:p>
      <w:pPr>
        <w:numPr>
          <w:ilvl w:val="0"/>
          <w:numId w:val="1006"/>
        </w:numPr>
        <w:pStyle w:val="Compact"/>
      </w:pPr>
      <w:r>
        <w:t xml:space="preserve">Informed consent from all participants</w:t>
      </w:r>
    </w:p>
    <w:p>
      <w:pPr>
        <w:numPr>
          <w:ilvl w:val="0"/>
          <w:numId w:val="1006"/>
        </w:numPr>
        <w:pStyle w:val="Compact"/>
      </w:pPr>
      <w:r>
        <w:t xml:space="preserve">Confidentiality and anonymity protections</w:t>
      </w:r>
    </w:p>
    <w:p>
      <w:pPr>
        <w:numPr>
          <w:ilvl w:val="0"/>
          <w:numId w:val="1006"/>
        </w:numPr>
        <w:pStyle w:val="Compact"/>
      </w:pPr>
      <w:r>
        <w:t xml:space="preserve">Voluntary participation with right to withdraw</w:t>
      </w:r>
    </w:p>
    <w:p>
      <w:pPr>
        <w:numPr>
          <w:ilvl w:val="0"/>
          <w:numId w:val="1006"/>
        </w:numPr>
        <w:pStyle w:val="Compact"/>
      </w:pPr>
      <w:r>
        <w:t xml:space="preserve">Approval from relevant institutional review boards</w:t>
      </w:r>
    </w:p>
    <w:p>
      <w:pPr>
        <w:numPr>
          <w:ilvl w:val="0"/>
          <w:numId w:val="1006"/>
        </w:numPr>
        <w:pStyle w:val="Compact"/>
      </w:pPr>
      <w:r>
        <w:t xml:space="preserve">Compliance with Australian research ethics standards</w:t>
      </w:r>
    </w:p>
    <w:p>
      <w:pPr>
        <w:numPr>
          <w:ilvl w:val="0"/>
          <w:numId w:val="1006"/>
        </w:numPr>
        <w:pStyle w:val="Compact"/>
      </w:pPr>
      <w:r>
        <w:t xml:space="preserve">Non-partisan approach to Politician evaluation</w:t>
      </w:r>
    </w:p>
    <w:p>
      <w:pPr>
        <w:pStyle w:val="FirstParagraph"/>
      </w:pPr>
      <w:r>
        <w:rPr>
          <w:bCs/>
          <w:b/>
        </w:rPr>
        <w:t xml:space="preserve">Note:</w:t>
      </w:r>
      <w:r>
        <w:t xml:space="preserve"> </w:t>
      </w:r>
      <w:r>
        <w:t xml:space="preserve">All Politician representatives involved will be treated equally, and the study will maintain political neutrality throughout the research process in Australia Brisbane.</w:t>
      </w:r>
    </w:p>
    <w:bookmarkEnd w:id="30"/>
    <w:bookmarkStart w:id="31" w:name="data-analysis"/>
    <w:p>
      <w:pPr>
        <w:pStyle w:val="Heading2"/>
      </w:pPr>
      <w:r>
        <w:t xml:space="preserve">6. Data Analysis</w:t>
      </w:r>
    </w:p>
    <w:p>
      <w:pPr>
        <w:pStyle w:val="FirstParagraph"/>
      </w:pPr>
      <w:r>
        <w:t xml:space="preserve">Quantitative data will be analyzed using statistical software to identify patterns and correlations between Politician communication methods and constituent responses. Qualitative data will undergo thematic analysis to extract key insights about constituent experiences and preferences.</w:t>
      </w:r>
    </w:p>
    <w:p>
      <w:pPr>
        <w:pStyle w:val="BodyText"/>
      </w:pPr>
      <w:r>
        <w:t xml:space="preserve">Special attention will be given to:</w:t>
      </w:r>
    </w:p>
    <w:p>
      <w:pPr>
        <w:numPr>
          <w:ilvl w:val="0"/>
          <w:numId w:val="1007"/>
        </w:numPr>
        <w:pStyle w:val="Compact"/>
      </w:pPr>
      <w:r>
        <w:t xml:space="preserve">Differences in responses across Australia Brisbane's diverse communities</w:t>
      </w:r>
    </w:p>
    <w:p>
      <w:pPr>
        <w:numPr>
          <w:ilvl w:val="0"/>
          <w:numId w:val="1007"/>
        </w:numPr>
        <w:pStyle w:val="Compact"/>
      </w:pPr>
      <w:r>
        <w:t xml:space="preserve">Effectiveness variations among different Politician communication strategies</w:t>
      </w:r>
    </w:p>
    <w:p>
      <w:pPr>
        <w:numPr>
          <w:ilvl w:val="0"/>
          <w:numId w:val="1007"/>
        </w:numPr>
        <w:pStyle w:val="Compact"/>
      </w:pPr>
      <w:r>
        <w:t xml:space="preserve">Demographic factors influencing Politician-constituent relationships</w:t>
      </w:r>
    </w:p>
    <w:bookmarkEnd w:id="31"/>
    <w:bookmarkStart w:id="32" w:name="expected-outcomes"/>
    <w:p>
      <w:pPr>
        <w:pStyle w:val="Heading2"/>
      </w:pPr>
      <w:r>
        <w:t xml:space="preserve">7. Expected Outcomes</w:t>
      </w:r>
    </w:p>
    <w:p>
      <w:pPr>
        <w:pStyle w:val="FirstParagraph"/>
      </w:pPr>
      <w:r>
        <w:t xml:space="preserve">This experiment protocol aims to produce actionable insights that can help:</w:t>
      </w:r>
    </w:p>
    <w:p>
      <w:pPr>
        <w:numPr>
          <w:ilvl w:val="0"/>
          <w:numId w:val="1008"/>
        </w:numPr>
        <w:pStyle w:val="Compact"/>
      </w:pPr>
      <w:r>
        <w:t xml:space="preserve">Politician representatives improve their communication strategies</w:t>
      </w:r>
    </w:p>
    <w:p>
      <w:pPr>
        <w:numPr>
          <w:ilvl w:val="0"/>
          <w:numId w:val="1008"/>
        </w:numPr>
        <w:pStyle w:val="Compact"/>
      </w:pPr>
      <w:r>
        <w:t xml:space="preserve">Enhance civic engagement across Australia Brisbane</w:t>
      </w:r>
    </w:p>
    <w:p>
      <w:pPr>
        <w:numPr>
          <w:ilvl w:val="0"/>
          <w:numId w:val="1008"/>
        </w:numPr>
        <w:pStyle w:val="Compact"/>
      </w:pPr>
      <w:r>
        <w:t xml:space="preserve">Strengthen democratic processes through better Politician-constituent relationships</w:t>
      </w:r>
    </w:p>
    <w:p>
      <w:pPr>
        <w:numPr>
          <w:ilvl w:val="0"/>
          <w:numId w:val="1008"/>
        </w:numPr>
        <w:pStyle w:val="Compact"/>
      </w:pPr>
      <w:r>
        <w:t xml:space="preserve">Inform policy development regarding political communication standards</w:t>
      </w:r>
    </w:p>
    <w:p>
      <w:pPr>
        <w:pStyle w:val="FirstParagraph"/>
      </w:pPr>
      <w:r>
        <w:t xml:space="preserve">The findings will be disseminated through academic publications, policy briefs, and community presentations to maximize their impact on improving Politician engagement practices in Australia Brisbane.</w:t>
      </w:r>
    </w:p>
    <w:bookmarkEnd w:id="32"/>
    <w:bookmarkStart w:id="33" w:name="conclusion"/>
    <w:p>
      <w:pPr>
        <w:pStyle w:val="Heading2"/>
      </w:pPr>
      <w:r>
        <w:t xml:space="preserve">8. Conclusion</w:t>
      </w:r>
    </w:p>
    <w:p>
      <w:pPr>
        <w:pStyle w:val="FirstParagraph"/>
      </w:pPr>
      <w:r>
        <w:t xml:space="preserve">This Experiment Protocol provides a comprehensive framework for studying Politician engagement in Australia Brisbane. By following these procedures, researchers can generate valuable insights into how Politician communication affects public trust and civic participation, ultimately contributing to stronger democratic practices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Australia Brisbane</dc:title>
  <dc:creator/>
  <dc:language>en</dc:language>
  <cp:keywords/>
  <dcterms:created xsi:type="dcterms:W3CDTF">2026-10-10T06:48:59Z</dcterms:created>
  <dcterms:modified xsi:type="dcterms:W3CDTF">2026-10-10T06:48:59Z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