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Politician</w:t>
      </w:r>
      <w:r>
        <w:t xml:space="preserve"> </w:t>
      </w:r>
      <w:r>
        <w:t xml:space="preserve">Engagement</w:t>
      </w:r>
      <w:r>
        <w:t xml:space="preserve"> </w:t>
      </w:r>
      <w:r>
        <w:t xml:space="preserve">in</w:t>
      </w:r>
      <w:r>
        <w:t xml:space="preserve"> </w:t>
      </w:r>
      <w:r>
        <w:t xml:space="preserve">Canada</w:t>
      </w:r>
      <w:r>
        <w:t xml:space="preserve"> </w:t>
      </w:r>
      <w:r>
        <w:t xml:space="preserve">Toronto</w:t>
      </w:r>
    </w:p>
    <w:bookmarkStart w:id="34" w:name="Xd0bea73cf1fd2b05c0a4a2d4f303f060c59ad34"/>
    <w:p>
      <w:pPr>
        <w:pStyle w:val="Heading1"/>
      </w:pPr>
      <w:r>
        <w:t xml:space="preserve">Experiment Protocol: Politician Engagement in Canada Toronto</w:t>
      </w:r>
    </w:p>
    <w:bookmarkStart w:id="20" w:name="title"/>
    <w:p>
      <w:pPr>
        <w:pStyle w:val="Heading2"/>
      </w:pPr>
      <w:r>
        <w:t xml:space="preserve">1. Title</w:t>
      </w:r>
    </w:p>
    <w:p>
      <w:pPr>
        <w:pStyle w:val="FirstParagraph"/>
      </w:pPr>
      <w:r>
        <w:rPr>
          <w:bCs/>
          <w:b/>
        </w:rPr>
        <w:t xml:space="preserve">Assessing the Impact of Direct Politician Engagement on Civic Participation in Canada Toronto</w:t>
      </w:r>
    </w:p>
    <w:bookmarkEnd w:id="20"/>
    <w:bookmarkStart w:id="21" w:name="introduction"/>
    <w:p>
      <w:pPr>
        <w:pStyle w:val="Heading2"/>
      </w:pPr>
      <w:r>
        <w:t xml:space="preserve">2. Introduction</w:t>
      </w:r>
    </w:p>
    <w:p>
      <w:pPr>
        <w:pStyle w:val="FirstParagraph"/>
      </w:pPr>
      <w:r>
        <w:t xml:space="preserve">This Experiment Protocol outlines a structured research design aimed at evaluating the effectiveness of direct engagement strategies between local politicians and residents in Canada Toronto. The study seeks to understand how various forms of interaction—such as town halls, digital platforms, and community workshops—influence civic participation, trust in government, and policy awareness among Toronto citizens.</w:t>
      </w:r>
    </w:p>
    <w:p>
      <w:pPr>
        <w:pStyle w:val="BodyText"/>
      </w:pPr>
      <w:r>
        <w:t xml:space="preserve">As one of the most diverse and rapidly growing cities in Canada, Toronto presents a unique environment for studying political engagement. The experiment will focus on identifying best practices that can enhance democratic participation and improve the responsiveness of local governance.</w:t>
      </w:r>
    </w:p>
    <w:bookmarkEnd w:id="21"/>
    <w:bookmarkStart w:id="22" w:name="objectives"/>
    <w:p>
      <w:pPr>
        <w:pStyle w:val="Heading2"/>
      </w:pPr>
      <w:r>
        <w:t xml:space="preserve">3. Objectives</w:t>
      </w:r>
    </w:p>
    <w:p>
      <w:pPr>
        <w:numPr>
          <w:ilvl w:val="0"/>
          <w:numId w:val="1001"/>
        </w:numPr>
        <w:pStyle w:val="Compact"/>
      </w:pPr>
      <w:r>
        <w:t xml:space="preserve">To measure changes in civic participation rates among residents who engage directly with local politicians.</w:t>
      </w:r>
    </w:p>
    <w:p>
      <w:pPr>
        <w:numPr>
          <w:ilvl w:val="0"/>
          <w:numId w:val="1001"/>
        </w:numPr>
        <w:pStyle w:val="Compact"/>
      </w:pPr>
      <w:r>
        <w:t xml:space="preserve">To assess the impact of different engagement formats on public trust in municipal government.</w:t>
      </w:r>
    </w:p>
    <w:p>
      <w:pPr>
        <w:numPr>
          <w:ilvl w:val="0"/>
          <w:numId w:val="1001"/>
        </w:numPr>
        <w:pStyle w:val="Compact"/>
      </w:pPr>
      <w:r>
        <w:t xml:space="preserve">To identify barriers to effective politician-citizen interaction in Canada Toronto.</w:t>
      </w:r>
    </w:p>
    <w:p>
      <w:pPr>
        <w:numPr>
          <w:ilvl w:val="0"/>
          <w:numId w:val="1001"/>
        </w:numPr>
        <w:pStyle w:val="Compact"/>
      </w:pPr>
      <w:r>
        <w:t xml:space="preserve">To develop evidence-based recommendations for improving political engagement strategies.</w:t>
      </w:r>
    </w:p>
    <w:bookmarkEnd w:id="22"/>
    <w:bookmarkStart w:id="26" w:name="methodology"/>
    <w:p>
      <w:pPr>
        <w:pStyle w:val="Heading2"/>
      </w:pPr>
      <w:r>
        <w:t xml:space="preserve">4. Methodology</w:t>
      </w:r>
    </w:p>
    <w:bookmarkStart w:id="23" w:name="study-design"/>
    <w:p>
      <w:pPr>
        <w:pStyle w:val="Heading3"/>
      </w:pPr>
      <w:r>
        <w:t xml:space="preserve">4.1 Study Design</w:t>
      </w:r>
    </w:p>
    <w:p>
      <w:pPr>
        <w:pStyle w:val="FirstParagraph"/>
      </w:pPr>
      <w:r>
        <w:t xml:space="preserve">The experiment will employ a mixed-methods approach, combining quantitative surveys with qualitative interviews. A randomized controlled trial (RCT) will be conducted across selected neighborhoods in Toronto to compare engagement outcomes between control and intervention groups.</w:t>
      </w:r>
    </w:p>
    <w:bookmarkEnd w:id="23"/>
    <w:bookmarkStart w:id="24" w:name="participants"/>
    <w:p>
      <w:pPr>
        <w:pStyle w:val="Heading3"/>
      </w:pPr>
      <w:r>
        <w:t xml:space="preserve">4.2 Participants</w:t>
      </w:r>
    </w:p>
    <w:p>
      <w:pPr>
        <w:pStyle w:val="FirstParagraph"/>
      </w:pPr>
      <w:r>
        <w:t xml:space="preserve">The study will recruit approximately 1,200 adult residents from diverse socioeconomic backgrounds across Toronto. Participants will be randomly assigned to either:</w:t>
      </w:r>
    </w:p>
    <w:p>
      <w:pPr>
        <w:numPr>
          <w:ilvl w:val="0"/>
          <w:numId w:val="1002"/>
        </w:numPr>
        <w:pStyle w:val="Compact"/>
      </w:pPr>
      <w:r>
        <w:rPr>
          <w:bCs/>
          <w:b/>
        </w:rPr>
        <w:t xml:space="preserve">Intervention Group:</w:t>
      </w:r>
      <w:r>
        <w:t xml:space="preserve"> </w:t>
      </w:r>
      <w:r>
        <w:t xml:space="preserve">Exposed to structured engagement activities with local politicians.</w:t>
      </w:r>
    </w:p>
    <w:p>
      <w:pPr>
        <w:numPr>
          <w:ilvl w:val="0"/>
          <w:numId w:val="1002"/>
        </w:numPr>
        <w:pStyle w:val="Compact"/>
      </w:pPr>
      <w:r>
        <w:rPr>
          <w:bCs/>
          <w:b/>
        </w:rPr>
        <w:t xml:space="preserve">Control Group:</w:t>
      </w:r>
      <w:r>
        <w:t xml:space="preserve"> </w:t>
      </w:r>
      <w:r>
        <w:t xml:space="preserve">Receives standard civic information without direct politician interaction.</w:t>
      </w:r>
    </w:p>
    <w:bookmarkEnd w:id="24"/>
    <w:bookmarkStart w:id="25" w:name="intervention-activities"/>
    <w:p>
      <w:pPr>
        <w:pStyle w:val="Heading3"/>
      </w:pPr>
      <w:r>
        <w:t xml:space="preserve">4.3 Intervention Activities</w:t>
      </w:r>
    </w:p>
    <w:p>
      <w:pPr>
        <w:pStyle w:val="FirstParagraph"/>
      </w:pPr>
      <w:r>
        <w:t xml:space="preserve">The intervention group will participate in one or more of the following activities over a six-month period:</w:t>
      </w:r>
    </w:p>
    <w:p>
      <w:pPr>
        <w:numPr>
          <w:ilvl w:val="0"/>
          <w:numId w:val="1003"/>
        </w:numPr>
        <w:pStyle w:val="Compact"/>
      </w:pPr>
      <w:r>
        <w:t xml:space="preserve">Live town hall meetings hosted by local politicians.</w:t>
      </w:r>
    </w:p>
    <w:p>
      <w:pPr>
        <w:numPr>
          <w:ilvl w:val="0"/>
          <w:numId w:val="1003"/>
        </w:numPr>
        <w:pStyle w:val="Compact"/>
      </w:pPr>
      <w:r>
        <w:t xml:space="preserve">Interactive online forums moderated by elected officials.</w:t>
      </w:r>
    </w:p>
    <w:p>
      <w:pPr>
        <w:numPr>
          <w:ilvl w:val="0"/>
          <w:numId w:val="1003"/>
        </w:numPr>
        <w:pStyle w:val="Compact"/>
      </w:pPr>
      <w:r>
        <w:t xml:space="preserve">Community workshops focused on local policy issues.</w:t>
      </w:r>
    </w:p>
    <w:p>
      <w:pPr>
        <w:numPr>
          <w:ilvl w:val="0"/>
          <w:numId w:val="1003"/>
        </w:numPr>
        <w:pStyle w:val="Compact"/>
      </w:pPr>
      <w:r>
        <w:t xml:space="preserve">One-on-one consultation sessions with political staff.</w:t>
      </w:r>
    </w:p>
    <w:bookmarkEnd w:id="25"/>
    <w:bookmarkEnd w:id="26"/>
    <w:bookmarkStart w:id="29" w:name="data-collection"/>
    <w:p>
      <w:pPr>
        <w:pStyle w:val="Heading2"/>
      </w:pPr>
      <w:r>
        <w:t xml:space="preserve">5. Data Collection</w:t>
      </w:r>
    </w:p>
    <w:bookmarkStart w:id="27" w:name="quantitative-measures"/>
    <w:p>
      <w:pPr>
        <w:pStyle w:val="Heading3"/>
      </w:pPr>
      <w:r>
        <w:t xml:space="preserve">5.1 Quantitative Measures</w:t>
      </w:r>
    </w:p>
    <w:p>
      <w:pPr>
        <w:pStyle w:val="FirstParagraph"/>
      </w:pPr>
      <w:r>
        <w:t xml:space="preserve">Surveys will be administered at three time points: baseline, mid-point, and post-intervention. Key metrics include:</w:t>
      </w:r>
    </w:p>
    <w:p>
      <w:pPr>
        <w:numPr>
          <w:ilvl w:val="0"/>
          <w:numId w:val="1004"/>
        </w:numPr>
        <w:pStyle w:val="Compact"/>
      </w:pPr>
      <w:r>
        <w:t xml:space="preserve">Voting intention and past voting behavior.</w:t>
      </w:r>
    </w:p>
    <w:p>
      <w:pPr>
        <w:numPr>
          <w:ilvl w:val="0"/>
          <w:numId w:val="1004"/>
        </w:numPr>
        <w:pStyle w:val="Compact"/>
      </w:pPr>
      <w:r>
        <w:t xml:space="preserve">Frequency of civic activities (e.g., attending meetings, contacting representatives).</w:t>
      </w:r>
    </w:p>
    <w:p>
      <w:pPr>
        <w:numPr>
          <w:ilvl w:val="0"/>
          <w:numId w:val="1004"/>
        </w:numPr>
        <w:pStyle w:val="Compact"/>
      </w:pPr>
      <w:r>
        <w:t xml:space="preserve">Levels of trust in local government institutions.</w:t>
      </w:r>
    </w:p>
    <w:p>
      <w:pPr>
        <w:numPr>
          <w:ilvl w:val="0"/>
          <w:numId w:val="1004"/>
        </w:numPr>
        <w:pStyle w:val="Compact"/>
      </w:pPr>
      <w:r>
        <w:t xml:space="preserve">Awareness of municipal policies and initiatives.</w:t>
      </w:r>
    </w:p>
    <w:bookmarkEnd w:id="27"/>
    <w:bookmarkStart w:id="28" w:name="qualitative-measures"/>
    <w:p>
      <w:pPr>
        <w:pStyle w:val="Heading3"/>
      </w:pPr>
      <w:r>
        <w:t xml:space="preserve">5.2 Qualitative Measures</w:t>
      </w:r>
    </w:p>
    <w:p>
      <w:pPr>
        <w:pStyle w:val="FirstParagraph"/>
      </w:pPr>
      <w:r>
        <w:t xml:space="preserve">Semi-structured interviews will be conducted with a subset of participants to explore their experiences, perceptions, and suggestions for improving politician engagement.</w:t>
      </w:r>
    </w:p>
    <w:bookmarkEnd w:id="28"/>
    <w:bookmarkEnd w:id="29"/>
    <w:bookmarkStart w:id="30" w:name="ethical-considerations"/>
    <w:p>
      <w:pPr>
        <w:pStyle w:val="Heading2"/>
      </w:pPr>
      <w:r>
        <w:t xml:space="preserve">6. Ethical Considerations</w:t>
      </w:r>
    </w:p>
    <w:p>
      <w:pPr>
        <w:pStyle w:val="FirstParagraph"/>
      </w:pPr>
      <w:r>
        <w:t xml:space="preserve">This study will adhere to ethical guidelines established by the Tri-Council Policy Statement (TCPS2) in Canada. Key considerations include:</w:t>
      </w:r>
    </w:p>
    <w:p>
      <w:pPr>
        <w:numPr>
          <w:ilvl w:val="0"/>
          <w:numId w:val="1005"/>
        </w:numPr>
        <w:pStyle w:val="Compact"/>
      </w:pPr>
      <w:r>
        <w:t xml:space="preserve">Informed consent from all participants.</w:t>
      </w:r>
    </w:p>
    <w:p>
      <w:pPr>
        <w:numPr>
          <w:ilvl w:val="0"/>
          <w:numId w:val="1005"/>
        </w:numPr>
        <w:pStyle w:val="Compact"/>
      </w:pPr>
      <w:r>
        <w:t xml:space="preserve">Confidentiality and anonymity of data.</w:t>
      </w:r>
    </w:p>
    <w:p>
      <w:pPr>
        <w:numPr>
          <w:ilvl w:val="0"/>
          <w:numId w:val="1005"/>
        </w:numPr>
        <w:pStyle w:val="Compact"/>
      </w:pPr>
      <w:r>
        <w:t xml:space="preserve">Voluntary participation with the right to withdraw at any time.</w:t>
      </w:r>
    </w:p>
    <w:p>
      <w:pPr>
        <w:numPr>
          <w:ilvl w:val="0"/>
          <w:numId w:val="1005"/>
        </w:numPr>
        <w:pStyle w:val="Compact"/>
      </w:pPr>
      <w:r>
        <w:t xml:space="preserve">Approval from an institutional review board (IRB) prior to commencement.</w:t>
      </w:r>
    </w:p>
    <w:bookmarkEnd w:id="30"/>
    <w:bookmarkStart w:id="31"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Preparation</w:t>
            </w:r>
          </w:p>
        </w:tc>
        <w:tc>
          <w:tcPr/>
          <w:p>
            <w:pPr>
              <w:pStyle w:val="Compact"/>
              <w:jc w:val="left"/>
            </w:pPr>
            <w:r>
              <w:t xml:space="preserve">Months 1–2</w:t>
            </w:r>
          </w:p>
        </w:tc>
        <w:tc>
          <w:tcPr/>
          <w:p>
            <w:pPr>
              <w:pStyle w:val="Compact"/>
              <w:jc w:val="left"/>
            </w:pPr>
            <w:r>
              <w:t xml:space="preserve">Protocol finalization, IRB approval, recruitment planning.</w:t>
            </w:r>
          </w:p>
        </w:tc>
      </w:tr>
      <w:tr>
        <w:tc>
          <w:tcPr/>
          <w:p>
            <w:pPr>
              <w:pStyle w:val="Compact"/>
              <w:jc w:val="left"/>
            </w:pPr>
            <w:r>
              <w:t xml:space="preserve">Recruitment</w:t>
            </w:r>
          </w:p>
        </w:tc>
        <w:tc>
          <w:tcPr/>
          <w:p>
            <w:pPr>
              <w:pStyle w:val="Compact"/>
              <w:jc w:val="left"/>
            </w:pPr>
            <w:r>
              <w:t xml:space="preserve">Months 3–4</w:t>
            </w:r>
          </w:p>
        </w:tc>
        <w:tc>
          <w:tcPr/>
          <w:p>
            <w:pPr>
              <w:pStyle w:val="Compact"/>
              <w:jc w:val="left"/>
            </w:pPr>
            <w:r>
              <w:t xml:space="preserve">Participant enrollment and randomization.</w:t>
            </w:r>
          </w:p>
        </w:tc>
      </w:tr>
      <w:tr>
        <w:tc>
          <w:tcPr/>
          <w:p>
            <w:pPr>
              <w:pStyle w:val="Compact"/>
              <w:jc w:val="left"/>
            </w:pPr>
            <w:r>
              <w:t xml:space="preserve">Intervention</w:t>
            </w:r>
          </w:p>
        </w:tc>
        <w:tc>
          <w:tcPr/>
          <w:p>
            <w:pPr>
              <w:pStyle w:val="Compact"/>
              <w:jc w:val="left"/>
            </w:pPr>
            <w:r>
              <w:t xml:space="preserve">Months 5–10</w:t>
            </w:r>
          </w:p>
        </w:tc>
        <w:tc>
          <w:tcPr/>
          <w:p>
            <w:pPr>
              <w:pStyle w:val="Compact"/>
              <w:jc w:val="left"/>
            </w:pPr>
            <w:r>
              <w:t xml:space="preserve">Implementation of engagement activities.</w:t>
            </w:r>
          </w:p>
        </w:tc>
      </w:tr>
      <w:tr>
        <w:tc>
          <w:tcPr/>
          <w:p>
            <w:pPr>
              <w:pStyle w:val="Compact"/>
              <w:jc w:val="left"/>
            </w:pPr>
            <w:r>
              <w:t xml:space="preserve">Data Collection</w:t>
            </w:r>
          </w:p>
        </w:tc>
        <w:tc>
          <w:tcPr/>
          <w:p>
            <w:pPr>
              <w:pStyle w:val="Compact"/>
              <w:jc w:val="left"/>
            </w:pPr>
            <w:r>
              <w:t xml:space="preserve">Months 5–11</w:t>
            </w:r>
          </w:p>
        </w:tc>
        <w:tc>
          <w:tcPr/>
          <w:p>
            <w:pPr>
              <w:pStyle w:val="Compact"/>
              <w:jc w:val="left"/>
            </w:pPr>
            <w:r>
              <w:t xml:space="preserve">Surveys and interviews.</w:t>
            </w:r>
          </w:p>
        </w:tc>
      </w:tr>
      <w:tr>
        <w:tc>
          <w:tcPr/>
          <w:p>
            <w:pPr>
              <w:pStyle w:val="Compact"/>
              <w:jc w:val="left"/>
            </w:pPr>
            <w:r>
              <w:t xml:space="preserve">Analysis</w:t>
            </w:r>
          </w:p>
        </w:tc>
        <w:tc>
          <w:tcPr/>
          <w:p>
            <w:pPr>
              <w:pStyle w:val="Compact"/>
              <w:jc w:val="left"/>
            </w:pPr>
            <w:r>
              <w:t xml:space="preserve">Months 12–13</w:t>
            </w:r>
          </w:p>
        </w:tc>
        <w:tc>
          <w:tcPr/>
          <w:p>
            <w:pPr>
              <w:pStyle w:val="Compact"/>
              <w:jc w:val="left"/>
            </w:pPr>
            <w:r>
              <w:t xml:space="preserve">Data processing and statistical analysis.</w:t>
            </w:r>
          </w:p>
        </w:tc>
      </w:tr>
      <w:tr>
        <w:tc>
          <w:tcPr/>
          <w:p>
            <w:pPr>
              <w:pStyle w:val="Compact"/>
              <w:jc w:val="left"/>
            </w:pPr>
            <w:r>
              <w:t xml:space="preserve">Reporting</w:t>
            </w:r>
          </w:p>
        </w:tc>
        <w:tc>
          <w:tcPr/>
          <w:p>
            <w:pPr>
              <w:pStyle w:val="Compact"/>
              <w:jc w:val="left"/>
            </w:pPr>
            <w:r>
              <w:t xml:space="preserve">Month 14</w:t>
            </w:r>
          </w:p>
        </w:tc>
        <w:tc>
          <w:tcPr/>
          <w:p>
            <w:pPr>
              <w:pStyle w:val="Compact"/>
              <w:jc w:val="left"/>
            </w:pPr>
            <w:r>
              <w:t xml:space="preserve">Dissemination of findings and recommendations.</w:t>
            </w:r>
          </w:p>
        </w:tc>
      </w:tr>
    </w:tbl>
    <w:bookmarkEnd w:id="31"/>
    <w:bookmarkStart w:id="32" w:name="expected-outcomes"/>
    <w:p>
      <w:pPr>
        <w:pStyle w:val="Heading2"/>
      </w:pPr>
      <w:r>
        <w:t xml:space="preserve">8. Expected Outcomes</w:t>
      </w:r>
    </w:p>
    <w:p>
      <w:pPr>
        <w:pStyle w:val="FirstParagraph"/>
      </w:pPr>
      <w:r>
        <w:t xml:space="preserve">The experiment aims to produce actionable insights into how politicians in Canada Toronto can more effectively engage with constituents. Expected outcomes include:</w:t>
      </w:r>
    </w:p>
    <w:p>
      <w:pPr>
        <w:numPr>
          <w:ilvl w:val="0"/>
          <w:numId w:val="1006"/>
        </w:numPr>
        <w:pStyle w:val="Compact"/>
      </w:pPr>
      <w:r>
        <w:t xml:space="preserve">Identification of engagement formats that significantly increase civic participation.</w:t>
      </w:r>
    </w:p>
    <w:p>
      <w:pPr>
        <w:numPr>
          <w:ilvl w:val="0"/>
          <w:numId w:val="1006"/>
        </w:numPr>
        <w:pStyle w:val="Compact"/>
      </w:pPr>
      <w:r>
        <w:t xml:space="preserve">Enhanced understanding of factors influencing public trust in local government.</w:t>
      </w:r>
    </w:p>
    <w:p>
      <w:pPr>
        <w:numPr>
          <w:ilvl w:val="0"/>
          <w:numId w:val="1006"/>
        </w:numPr>
        <w:pStyle w:val="Compact"/>
      </w:pPr>
      <w:r>
        <w:t xml:space="preserve">Development of a scalable model for politician-citizen interaction.</w:t>
      </w:r>
    </w:p>
    <w:bookmarkEnd w:id="32"/>
    <w:bookmarkStart w:id="33" w:name="conclusion"/>
    <w:p>
      <w:pPr>
        <w:pStyle w:val="Heading2"/>
      </w:pPr>
      <w:r>
        <w:t xml:space="preserve">9. Conclusion</w:t>
      </w:r>
    </w:p>
    <w:p>
      <w:pPr>
        <w:pStyle w:val="FirstParagraph"/>
      </w:pPr>
      <w:r>
        <w:t xml:space="preserve">This Experiment Protocol provides a comprehensive framework for studying the role of politicians in fostering civic engagement within Canada Toronto. By systematically evaluating different interaction strategies, the study will contribute valuable knowledge to both academic research and practical governance, ultimately supporting a more inclusive and responsive democratic process.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Politician Engagement in Canada Toronto</dc:title>
  <dc:creator/>
  <dc:language>en</dc:language>
  <cp:keywords/>
  <dcterms:created xsi:type="dcterms:W3CDTF">2026-10-10T06:43:54Z</dcterms:created>
  <dcterms:modified xsi:type="dcterms:W3CDTF">2026-10-10T06:43:54Z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