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Frankfurt</w:t>
      </w:r>
      <w:r>
        <w:t xml:space="preserve"> </w:t>
      </w:r>
      <w:r>
        <w:t xml:space="preserve">am</w:t>
      </w:r>
      <w:r>
        <w:t xml:space="preserve"> </w:t>
      </w:r>
      <w:r>
        <w:t xml:space="preserve">Main</w:t>
      </w:r>
    </w:p>
    <w:p>
      <w:pPr>
        <w:pStyle w:val="FirstParagraph"/>
      </w:pPr>
      <w:r>
        <w:rPr>
          <w:bCs/>
          <w:b/>
        </w:rPr>
        <w:t xml:space="preserve">Document Type:</w:t>
      </w:r>
      <w:r>
        <w:t xml:space="preserve"> </w:t>
      </w:r>
      <w:r>
        <w:t xml:space="preserve">Experiment Protocol</w:t>
      </w:r>
      <w:r>
        <w:br/>
      </w:r>
      <w:r>
        <w:rPr>
          <w:bCs/>
          <w:b/>
        </w:rPr>
        <w:t xml:space="preserve">Subject:</w:t>
      </w:r>
      <w:r>
        <w:t xml:space="preserve"> </w:t>
      </w:r>
      <w:r>
        <w:t xml:space="preserve">Politician Communication Strategies</w:t>
      </w:r>
      <w:r>
        <w:br/>
      </w:r>
      <w:r>
        <w:rPr>
          <w:bCs/>
          <w:b/>
        </w:rPr>
        <w:t xml:space="preserve">Location:</w:t>
      </w:r>
      <w:r>
        <w:t xml:space="preserve"> </w:t>
      </w:r>
      <w:r>
        <w:t xml:space="preserve">Germany Frankfurt (Frankfurt am Main)</w:t>
      </w:r>
      <w:r>
        <w:br/>
      </w:r>
      <w:r>
        <w:rPr>
          <w:bCs/>
          <w:b/>
        </w:rPr>
        <w:t xml:space="preserve">Date:</w:t>
      </w:r>
      <w:r>
        <w:t xml:space="preserve"> </w:t>
      </w:r>
      <w:r>
        <w:t xml:space="preserve">October 26, 2023</w:t>
      </w:r>
      <w:r>
        <w:br/>
      </w:r>
      <w:r>
        <w:rPr>
          <w:bCs/>
          <w:b/>
        </w:rPr>
        <w:t xml:space="preserve">Version:</w:t>
      </w:r>
      <w:r>
        <w:t xml:space="preserve"> </w:t>
      </w:r>
      <w:r>
        <w:t xml:space="preserve">1.0</w:t>
      </w:r>
    </w:p>
    <w:bookmarkStart w:id="31" w:name="X6d714477d540d5488052c15a63cc95c2a148109"/>
    <w:p>
      <w:pPr>
        <w:pStyle w:val="Heading1"/>
      </w:pPr>
      <w:r>
        <w:t xml:space="preserve">Experiment Protocol: Assessing the Impact of Digital vs. Traditional Communication on Voter Trust in Frankfurt am Main</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different communication channels utilized by a Politician in the context of local governance. The study is situated in Germany Frankfurt, a major financial hub and cosmopolitan city within the state of Hesse. The rapid digitization of public discourse necessitates a rigorous understanding of how constituents in Frankfurt perceive political messaging across various platforms.</w:t>
      </w:r>
    </w:p>
    <w:p>
      <w:pPr>
        <w:pStyle w:val="BodyText"/>
      </w:pPr>
      <w:r>
        <w:t xml:space="preserve">The primary focus is on the role of the Politician as a mediator between municipal policy and the citizenry. In Germany Frankfurt, where the demographic is diverse and highly educated, the traditional methods of town halls and printed newsletters are increasingly competing with social media, direct messaging apps, and interactive digital town squares. This experiment aims to quantify the impact of these channels on voter trust, engagement levels, and policy comprehension.</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difference in perceived authenticity of a Politician when communicating via face-to-face interactions versus digital platforms in Germany Frankfurt.</w:t>
      </w:r>
    </w:p>
    <w:p>
      <w:pPr>
        <w:numPr>
          <w:ilvl w:val="0"/>
          <w:numId w:val="1001"/>
        </w:numPr>
        <w:pStyle w:val="Compact"/>
      </w:pPr>
      <w:r>
        <w:t xml:space="preserve">To analyze the correlation between the frequency of digital updates and voter satisfaction among residents of Frankfurt am Main.</w:t>
      </w:r>
    </w:p>
    <w:p>
      <w:pPr>
        <w:numPr>
          <w:ilvl w:val="0"/>
          <w:numId w:val="1001"/>
        </w:numPr>
        <w:pStyle w:val="Compact"/>
      </w:pPr>
      <w:r>
        <w:t xml:space="preserve">To determine if localized content specific to Frankfurt districts (e.g., Sachsenhausen, Bornheim) yields higher engagement than city-wide generic messaging.</w:t>
      </w:r>
    </w:p>
    <w:p>
      <w:pPr>
        <w:numPr>
          <w:ilvl w:val="0"/>
          <w:numId w:val="1001"/>
        </w:numPr>
        <w:pStyle w:val="Compact"/>
      </w:pPr>
      <w:r>
        <w:t xml:space="preserve">To establish a framework for ethical digital engagement for politicians operating under German data protection laws (GDPR).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The population consists of registered voters in Germany Frankfurt. Participants will be randomly assigned to one of three experimental groups, each exposed to a different communication strategy from a designated Politician (or a simulated political persona representing a local candidate).</w:t>
      </w:r>
    </w:p>
    <w:bookmarkEnd w:id="22"/>
    <w:bookmarkStart w:id="23" w:name="experimental-groups"/>
    <w:p>
      <w:pPr>
        <w:pStyle w:val="Heading3"/>
      </w:pPr>
      <w:r>
        <w:t xml:space="preserve">3.2 Experimental Groups</w:t>
      </w:r>
    </w:p>
    <w:p>
      <w:pPr>
        <w:numPr>
          <w:ilvl w:val="0"/>
          <w:numId w:val="1002"/>
        </w:numPr>
        <w:pStyle w:val="Compact"/>
      </w:pPr>
      <w:r>
        <w:rPr>
          <w:bCs/>
          <w:b/>
        </w:rPr>
        <w:t xml:space="preserve">Group A (Traditional Hybrid):</w:t>
      </w:r>
      <w:r>
        <w:t xml:space="preserve"> </w:t>
      </w:r>
      <w:r>
        <w:t xml:space="preserve">Receives communication via printed newsletters, scheduled town hall meetings in Frankfurt community centers, and standard press releases.</w:t>
      </w:r>
    </w:p>
    <w:p>
      <w:pPr>
        <w:numPr>
          <w:ilvl w:val="0"/>
          <w:numId w:val="1002"/>
        </w:numPr>
        <w:pStyle w:val="Compact"/>
      </w:pPr>
      <w:r>
        <w:rPr>
          <w:bCs/>
          <w:b/>
        </w:rPr>
        <w:t xml:space="preserve">Group B (Digital First):</w:t>
      </w:r>
      <w:r>
        <w:t xml:space="preserve"> </w:t>
      </w:r>
      <w:r>
        <w:t xml:space="preserve">Receives communication exclusively through social media channels (Instagram, Twitter/X, LinkedIn), a dedicated website, and email newsletters.</w:t>
      </w:r>
    </w:p>
    <w:p>
      <w:pPr>
        <w:numPr>
          <w:ilvl w:val="0"/>
          <w:numId w:val="1002"/>
        </w:numPr>
        <w:pStyle w:val="Compact"/>
      </w:pPr>
      <w:r>
        <w:rPr>
          <w:bCs/>
          <w:b/>
        </w:rPr>
        <w:t xml:space="preserve">Group C (Interactive Localized):</w:t>
      </w:r>
      <w:r>
        <w:t xml:space="preserve"> </w:t>
      </w:r>
      <w:r>
        <w:t xml:space="preserve">Receives a mix of digital and physical communication, but with a focus on hyper-local issues specific to their Frankfurt district, including interactive Q&amp;A sessions via secure messaging apps.</w:t>
      </w:r>
    </w:p>
    <w:bookmarkEnd w:id="23"/>
    <w:bookmarkStart w:id="24" w:name="the-politician-persona"/>
    <w:p>
      <w:pPr>
        <w:pStyle w:val="Heading3"/>
      </w:pPr>
      <w:r>
        <w:t xml:space="preserve">3.3 The Politician Persona</w:t>
      </w:r>
    </w:p>
    <w:p>
      <w:pPr>
        <w:pStyle w:val="FirstParagraph"/>
      </w:pPr>
      <w:r>
        <w:t xml:space="preserve">To ensure consistency, the "Politician" in this experiment will be a controlled variable. If a real Politician is involved, their messaging tone, policy stance, and visual branding must remain identical across all groups. The only variable changing is the medium and the localization of the content. The Politician must adhere to the strict ethical guidelines of German political campaigning.</w:t>
      </w:r>
    </w:p>
    <w:bookmarkEnd w:id="24"/>
    <w:bookmarkEnd w:id="25"/>
    <w:bookmarkStart w:id="26" w:name="data-collection-procedures"/>
    <w:p>
      <w:pPr>
        <w:pStyle w:val="Heading2"/>
      </w:pPr>
      <w:r>
        <w:t xml:space="preserve">4. Data Collection Procedures</w:t>
      </w:r>
    </w:p>
    <w:p>
      <w:pPr>
        <w:pStyle w:val="FirstParagraph"/>
      </w:pPr>
      <w:r>
        <w:t xml:space="preserve">Data collection will occur over a period of six weeks. The following metrics will be tracked:</w:t>
      </w:r>
    </w:p>
    <w:p>
      <w:pPr>
        <w:numPr>
          <w:ilvl w:val="0"/>
          <w:numId w:val="1003"/>
        </w:numPr>
        <w:pStyle w:val="Compact"/>
      </w:pPr>
      <w:r>
        <w:rPr>
          <w:bCs/>
          <w:b/>
        </w:rPr>
        <w:t xml:space="preserve">Engagement Metrics:</w:t>
      </w:r>
      <w:r>
        <w:t xml:space="preserve"> </w:t>
      </w:r>
      <w:r>
        <w:t xml:space="preserve">Click-through rates, attendance at physical events in Frankfurt, and response rates to surveys.</w:t>
      </w:r>
    </w:p>
    <w:p>
      <w:pPr>
        <w:numPr>
          <w:ilvl w:val="0"/>
          <w:numId w:val="1003"/>
        </w:numPr>
        <w:pStyle w:val="Compact"/>
      </w:pPr>
      <w:r>
        <w:rPr>
          <w:bCs/>
          <w:b/>
        </w:rPr>
        <w:t xml:space="preserve">Trust Surveys:</w:t>
      </w:r>
      <w:r>
        <w:t xml:space="preserve"> </w:t>
      </w:r>
      <w:r>
        <w:t xml:space="preserve">Pre- and post-experiment surveys measuring trust in the Politician, understanding of local policies, and likelihood to vote.</w:t>
      </w:r>
    </w:p>
    <w:p>
      <w:pPr>
        <w:numPr>
          <w:ilvl w:val="0"/>
          <w:numId w:val="1003"/>
        </w:numPr>
        <w:pStyle w:val="Compact"/>
      </w:pPr>
      <w:r>
        <w:rPr>
          <w:bCs/>
          <w:b/>
        </w:rPr>
        <w:t xml:space="preserve">Sentiment Analysis:</w:t>
      </w:r>
      <w:r>
        <w:t xml:space="preserve"> </w:t>
      </w:r>
      <w:r>
        <w:t xml:space="preserve">Automated analysis of public comments and feedback regarding the Politician’s communication style.</w:t>
      </w:r>
    </w:p>
    <w:p>
      <w:pPr>
        <w:pStyle w:val="FirstParagraph"/>
      </w:pPr>
      <w:r>
        <w:t xml:space="preserve">All data collection instruments will be translated into German and English to accommodate the international population of Germany Frankfurt.</w:t>
      </w:r>
    </w:p>
    <w:bookmarkEnd w:id="26"/>
    <w:bookmarkStart w:id="27" w:name="ethical-considerations-and-compliance"/>
    <w:p>
      <w:pPr>
        <w:pStyle w:val="Heading2"/>
      </w:pPr>
      <w:r>
        <w:t xml:space="preserve">5. Ethical Considerations and Compliance</w:t>
      </w:r>
    </w:p>
    <w:p>
      <w:pPr>
        <w:pStyle w:val="FirstParagraph"/>
      </w:pPr>
      <w:r>
        <w:t xml:space="preserve">Given the sensitive nature of political experimentation, this Experiment Protocol strictly adheres to the General Data Protection Regulation (GDPR) and the Hessian Data Protection Act.</w:t>
      </w:r>
    </w:p>
    <w:p>
      <w:pPr>
        <w:numPr>
          <w:ilvl w:val="0"/>
          <w:numId w:val="1004"/>
        </w:numPr>
        <w:pStyle w:val="Compact"/>
      </w:pPr>
      <w:r>
        <w:rPr>
          <w:bCs/>
          <w:b/>
        </w:rPr>
        <w:t xml:space="preserve">Informed Consent:</w:t>
      </w:r>
      <w:r>
        <w:t xml:space="preserve"> </w:t>
      </w:r>
      <w:r>
        <w:t xml:space="preserve">All participants in Germany Frankfurt must provide explicit, written consent before joining the study. They must be informed that their data is being used for research purposes.</w:t>
      </w:r>
    </w:p>
    <w:p>
      <w:pPr>
        <w:numPr>
          <w:ilvl w:val="0"/>
          <w:numId w:val="1004"/>
        </w:numPr>
        <w:pStyle w:val="Compact"/>
      </w:pPr>
      <w:r>
        <w:rPr>
          <w:bCs/>
          <w:b/>
        </w:rPr>
        <w:t xml:space="preserve">Neutrality:</w:t>
      </w:r>
      <w:r>
        <w:t xml:space="preserve"> </w:t>
      </w:r>
      <w:r>
        <w:t xml:space="preserve">The experiment must not influence the actual political outcome of any election. The Politician involved must not use the data for targeted micro-campaigning that violates election laws.</w:t>
      </w:r>
    </w:p>
    <w:p>
      <w:pPr>
        <w:numPr>
          <w:ilvl w:val="0"/>
          <w:numId w:val="1004"/>
        </w:numPr>
        <w:pStyle w:val="Compact"/>
      </w:pPr>
      <w:r>
        <w:rPr>
          <w:bCs/>
          <w:b/>
        </w:rPr>
        <w:t xml:space="preserve">Data Anonymization:</w:t>
      </w:r>
      <w:r>
        <w:t xml:space="preserve"> </w:t>
      </w:r>
      <w:r>
        <w:t xml:space="preserve">All personal data will be anonymized. No individual voter’s political preference will be linked to their identity in the final report.</w:t>
      </w:r>
    </w:p>
    <w:bookmarkEnd w:id="27"/>
    <w:bookmarkStart w:id="28" w:name="timeline"/>
    <w:p>
      <w:pPr>
        <w:pStyle w:val="Heading2"/>
      </w:pPr>
      <w:r>
        <w:t xml:space="preserve">6. Timeline</w:t>
      </w:r>
    </w:p>
    <w:p>
      <w:pPr>
        <w:numPr>
          <w:ilvl w:val="0"/>
          <w:numId w:val="1005"/>
        </w:numPr>
        <w:pStyle w:val="Compact"/>
      </w:pPr>
      <w:r>
        <w:rPr>
          <w:bCs/>
          <w:b/>
        </w:rPr>
        <w:t xml:space="preserve">Week 1:</w:t>
      </w:r>
      <w:r>
        <w:t xml:space="preserve"> </w:t>
      </w:r>
      <w:r>
        <w:t xml:space="preserve">Recruitment of participants in Germany Frankfurt and ethical review board approval.</w:t>
      </w:r>
    </w:p>
    <w:p>
      <w:pPr>
        <w:numPr>
          <w:ilvl w:val="0"/>
          <w:numId w:val="1005"/>
        </w:numPr>
        <w:pStyle w:val="Compact"/>
      </w:pPr>
      <w:r>
        <w:rPr>
          <w:bCs/>
          <w:b/>
        </w:rPr>
        <w:t xml:space="preserve">Week 2:</w:t>
      </w:r>
      <w:r>
        <w:t xml:space="preserve"> </w:t>
      </w:r>
      <w:r>
        <w:t xml:space="preserve">Baseline surveys and randomization of groups.</w:t>
      </w:r>
    </w:p>
    <w:p>
      <w:pPr>
        <w:numPr>
          <w:ilvl w:val="0"/>
          <w:numId w:val="1005"/>
        </w:numPr>
        <w:pStyle w:val="Compact"/>
      </w:pPr>
      <w:r>
        <w:rPr>
          <w:bCs/>
          <w:b/>
        </w:rPr>
        <w:t xml:space="preserve">Weeks 3-7:</w:t>
      </w:r>
      <w:r>
        <w:t xml:space="preserve"> </w:t>
      </w:r>
      <w:r>
        <w:t xml:space="preserve">Implementation of communication strategies by the Politician.</w:t>
      </w:r>
    </w:p>
    <w:p>
      <w:pPr>
        <w:numPr>
          <w:ilvl w:val="0"/>
          <w:numId w:val="1005"/>
        </w:numPr>
        <w:pStyle w:val="Compact"/>
      </w:pPr>
      <w:r>
        <w:rPr>
          <w:bCs/>
          <w:b/>
        </w:rPr>
        <w:t xml:space="preserve">Week 8:</w:t>
      </w:r>
      <w:r>
        <w:t xml:space="preserve"> </w:t>
      </w:r>
      <w:r>
        <w:t xml:space="preserve">Post-experiment surveys and data analysis.</w:t>
      </w:r>
    </w:p>
    <w:p>
      <w:pPr>
        <w:numPr>
          <w:ilvl w:val="0"/>
          <w:numId w:val="1005"/>
        </w:numPr>
        <w:pStyle w:val="Compact"/>
      </w:pPr>
      <w:r>
        <w:rPr>
          <w:bCs/>
          <w:b/>
        </w:rPr>
        <w:t xml:space="preserve">Week 9:</w:t>
      </w:r>
      <w:r>
        <w:t xml:space="preserve"> </w:t>
      </w:r>
      <w:r>
        <w:t xml:space="preserve">Compilation of the final report.</w:t>
      </w:r>
    </w:p>
    <w:bookmarkEnd w:id="28"/>
    <w:bookmarkStart w:id="29" w:name="expected-outcomes-and-significance"/>
    <w:p>
      <w:pPr>
        <w:pStyle w:val="Heading2"/>
      </w:pPr>
      <w:r>
        <w:t xml:space="preserve">7. Expected Outcomes and Significance</w:t>
      </w:r>
    </w:p>
    <w:p>
      <w:pPr>
        <w:pStyle w:val="FirstParagraph"/>
      </w:pPr>
      <w:r>
        <w:t xml:space="preserve">This Experiment Protocol anticipates that while digital channels offer efficiency, the Politician’s ability to build deep trust in Germany Frankfurt may still rely heavily on localized, interactive engagement. The results will provide valuable insights for political strategists, municipal governments, and civic organizations. By understanding the nuances of communication in a major German city, this study contributes to the broader discourse on democratic participation in the digital age.</w:t>
      </w:r>
    </w:p>
    <w:p>
      <w:pPr>
        <w:pStyle w:val="BodyText"/>
      </w:pPr>
      <w:r>
        <w:t xml:space="preserve">Ultimately, the goal is to enhance the transparency and effectiveness of the Politician-citizen relationship, ensuring that the governance of Germany Frankfurt remains responsive to the needs of its diverse population.</w:t>
      </w:r>
    </w:p>
    <w:bookmarkEnd w:id="29"/>
    <w:bookmarkStart w:id="30" w:name="conclusion"/>
    <w:p>
      <w:pPr>
        <w:pStyle w:val="Heading2"/>
      </w:pPr>
      <w:r>
        <w:t xml:space="preserve">8. Conclusion</w:t>
      </w:r>
    </w:p>
    <w:p>
      <w:pPr>
        <w:pStyle w:val="FirstParagraph"/>
      </w:pPr>
      <w:r>
        <w:t xml:space="preserve">This document serves as the definitive guide for the execution of the study. All team members, including the Politician and research assistants, must adhere strictly to the procedures outlined in this Experiment Protocol to ensure the validity and integrity of the findings.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and Civic Engagement in Frankfurt am Main</dc:title>
  <dc:creator/>
  <dc:language>en</dc:language>
  <cp:keywords/>
  <dcterms:created xsi:type="dcterms:W3CDTF">2026-10-10T09:10:37Z</dcterms:created>
  <dcterms:modified xsi:type="dcterms:W3CDTF">2026-10-10T09:10:37Z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