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Munich</w:t>
      </w:r>
    </w:p>
    <w:bookmarkStart w:id="32" w:name="Xff39ff9a3eb8ea73909b2aa76af2419579b20e7"/>
    <w:p>
      <w:pPr>
        <w:pStyle w:val="Heading1"/>
      </w:pPr>
      <w:r>
        <w:t xml:space="preserve">Experiment Protocol: Political Communication Dynamics in Munich</w:t>
      </w:r>
    </w:p>
    <w:p>
      <w:pPr>
        <w:pStyle w:val="FirstParagraph"/>
      </w:pPr>
      <w:r>
        <w:rPr>
          <w:bCs/>
          <w:b/>
        </w:rPr>
        <w:t xml:space="preserve">Protocol ID:</w:t>
      </w:r>
      <w:r>
        <w:t xml:space="preserve"> </w:t>
      </w:r>
      <w:r>
        <w:t xml:space="preserve">EXP-MUC-POL-2024-001</w:t>
      </w:r>
    </w:p>
    <w:p>
      <w:pPr>
        <w:pStyle w:val="BodyText"/>
      </w:pPr>
      <w:r>
        <w:rPr>
          <w:bCs/>
          <w:b/>
        </w:rPr>
        <w:t xml:space="preserve">Title:</w:t>
      </w:r>
      <w:r>
        <w:t xml:space="preserve"> </w:t>
      </w:r>
      <w:r>
        <w:t xml:space="preserve">Assessing the Impact of Digital vs. Traditional Communication Strategies on Voter Trust Among Munich Residents</w:t>
      </w:r>
    </w:p>
    <w:p>
      <w:pPr>
        <w:pStyle w:val="BodyText"/>
      </w:pPr>
      <w:r>
        <w:rPr>
          <w:bCs/>
          <w:b/>
        </w:rPr>
        <w:t xml:space="preserve">Location:</w:t>
      </w:r>
      <w:r>
        <w:t xml:space="preserve"> </w:t>
      </w:r>
      <w:r>
        <w:t xml:space="preserve">Munich, Bavaria, Germany</w:t>
      </w:r>
    </w:p>
    <w:p>
      <w:pPr>
        <w:pStyle w:val="BodyText"/>
      </w:pPr>
      <w:r>
        <w:rPr>
          <w:bCs/>
          <w:b/>
        </w:rPr>
        <w:t xml:space="preserve">Principal Investigator:</w:t>
      </w:r>
      <w:r>
        <w:t xml:space="preserve"> </w:t>
      </w:r>
      <w:r>
        <w:t xml:space="preserve">[Name Redacted]</w:t>
      </w:r>
    </w:p>
    <w:p>
      <w:pPr>
        <w:pStyle w:val="BodyText"/>
      </w:pPr>
      <w:r>
        <w:rPr>
          <w:bCs/>
          <w:b/>
        </w:rPr>
        <w:t xml:space="preserve">Date of Approval:</w:t>
      </w:r>
      <w:r>
        <w:t xml:space="preserve"> </w:t>
      </w:r>
      <w:r>
        <w:t xml:space="preserve">October 15, 2024</w:t>
      </w:r>
    </w:p>
    <w:p>
      <w:pPr>
        <w:pStyle w:val="BodyText"/>
      </w:pPr>
      <w:r>
        <w:rPr>
          <w:bCs/>
          <w:b/>
        </w:rPr>
        <w:t xml:space="preserve">Ethics Committee:</w:t>
      </w:r>
      <w:r>
        <w:t xml:space="preserve"> </w:t>
      </w:r>
      <w:r>
        <w:t xml:space="preserve">LMU Munich Ethics Board for Social Sciences</w:t>
      </w:r>
    </w:p>
    <w:bookmarkStart w:id="20" w:name="introduction-and-background"/>
    <w:p>
      <w:pPr>
        <w:pStyle w:val="Heading2"/>
      </w:pPr>
      <w:r>
        <w:t xml:space="preserve">1. Introduction and Background</w:t>
      </w:r>
    </w:p>
    <w:p>
      <w:pPr>
        <w:pStyle w:val="FirstParagraph"/>
      </w:pPr>
      <w:r>
        <w:t xml:space="preserve">The political landscape in Germany has undergone significant transformation in recent years, particularly in urban centers like Munich. As the capital of Bavaria and a major economic hub, Munich presents a unique environment for studying political behavior. The city's electorate is characterized by high educational attainment, strong civic engagement, and a complex mix of traditional conservative values and progressive urban attitudes. This experiment protocol outlines a rigorous study designed to examine how different communication strategies employed by politicians affect voter trust and engagement in Munich.</w:t>
      </w:r>
    </w:p>
    <w:p>
      <w:pPr>
        <w:pStyle w:val="BodyText"/>
      </w:pPr>
      <w:r>
        <w:t xml:space="preserve">The rise of digital platforms has fundamentally altered how politicians communicate with constituents. While traditional methods such as town hall meetings, local newspaper advertisements, and direct mail remain prevalent in German politics, social media and digital campaigning have become increasingly important. However, the relative effectiveness of these approaches in building genuine trust—rather than mere awareness—remains poorly understood, especially in the context of Munich's specific socio-political environment.</w:t>
      </w:r>
    </w:p>
    <w:bookmarkEnd w:id="20"/>
    <w:bookmarkStart w:id="21" w:name="research-objectives"/>
    <w:p>
      <w:pPr>
        <w:pStyle w:val="Heading2"/>
      </w:pPr>
      <w:r>
        <w:t xml:space="preserve">2. Research Objectives</w:t>
      </w:r>
    </w:p>
    <w:p>
      <w:pPr>
        <w:pStyle w:val="FirstParagraph"/>
      </w:pPr>
      <w:r>
        <w:t xml:space="preserve">This experiment aims to achieve the following objectives:</w:t>
      </w:r>
    </w:p>
    <w:p>
      <w:pPr>
        <w:numPr>
          <w:ilvl w:val="0"/>
          <w:numId w:val="1001"/>
        </w:numPr>
        <w:pStyle w:val="Compact"/>
      </w:pPr>
      <w:r>
        <w:t xml:space="preserve">To measure the differential impact of digital communication (social media, email newsletters, video messages) versus traditional communication (printed materials, in-person events, local radio) on voter trust in politicians among Munich residents.</w:t>
      </w:r>
    </w:p>
    <w:p>
      <w:pPr>
        <w:numPr>
          <w:ilvl w:val="0"/>
          <w:numId w:val="1001"/>
        </w:numPr>
        <w:pStyle w:val="Compact"/>
      </w:pPr>
      <w:r>
        <w:t xml:space="preserve">To assess whether the perceived authenticity of a politician's message varies based on the communication channel used.</w:t>
      </w:r>
    </w:p>
    <w:p>
      <w:pPr>
        <w:numPr>
          <w:ilvl w:val="0"/>
          <w:numId w:val="1001"/>
        </w:numPr>
        <w:pStyle w:val="Compact"/>
      </w:pPr>
      <w:r>
        <w:t xml:space="preserve">To determine if demographic factors (age, education level, political affiliation, length of residence in Munich) moderate the effectiveness of different communication strategies.</w:t>
      </w:r>
    </w:p>
    <w:p>
      <w:pPr>
        <w:numPr>
          <w:ilvl w:val="0"/>
          <w:numId w:val="1001"/>
        </w:numPr>
        <w:pStyle w:val="Compact"/>
      </w:pPr>
      <w:r>
        <w:t xml:space="preserve">To evaluate the role of message consistency across multiple channels in shaping voter perceptions.</w:t>
      </w:r>
    </w:p>
    <w:bookmarkEnd w:id="21"/>
    <w:bookmarkStart w:id="22" w:name="hypotheses"/>
    <w:p>
      <w:pPr>
        <w:pStyle w:val="Heading2"/>
      </w:pPr>
      <w:r>
        <w:t xml:space="preserve">3. Hypotheses</w:t>
      </w:r>
    </w:p>
    <w:p>
      <w:pPr>
        <w:pStyle w:val="FirstParagraph"/>
      </w:pPr>
      <w:r>
        <w:t xml:space="preserve">Based on existing literature and preliminary observations, we propose the following hypotheses:</w:t>
      </w:r>
    </w:p>
    <w:p>
      <w:pPr>
        <w:numPr>
          <w:ilvl w:val="0"/>
          <w:numId w:val="1002"/>
        </w:numPr>
        <w:pStyle w:val="Compact"/>
      </w:pPr>
      <w:r>
        <w:rPr>
          <w:bCs/>
          <w:b/>
        </w:rPr>
        <w:t xml:space="preserve">H1:</w:t>
      </w:r>
      <w:r>
        <w:t xml:space="preserve"> </w:t>
      </w:r>
      <w:r>
        <w:t xml:space="preserve">Munich residents aged 18-35 will exhibit higher trust in politicians who primarily use digital communication channels compared to those who rely on traditional methods.</w:t>
      </w:r>
    </w:p>
    <w:p>
      <w:pPr>
        <w:numPr>
          <w:ilvl w:val="0"/>
          <w:numId w:val="1002"/>
        </w:numPr>
        <w:pStyle w:val="Compact"/>
      </w:pPr>
      <w:r>
        <w:rPr>
          <w:bCs/>
          <w:b/>
        </w:rPr>
        <w:t xml:space="preserve">H2:</w:t>
      </w:r>
      <w:r>
        <w:t xml:space="preserve"> </w:t>
      </w:r>
      <w:r>
        <w:t xml:space="preserve">Munich residents aged 55 and above will demonstrate higher trust in politicians who utilize traditional communication channels, particularly in-person events and printed materials.</w:t>
      </w:r>
    </w:p>
    <w:p>
      <w:pPr>
        <w:numPr>
          <w:ilvl w:val="0"/>
          <w:numId w:val="1002"/>
        </w:numPr>
        <w:pStyle w:val="Compact"/>
      </w:pPr>
      <w:r>
        <w:rPr>
          <w:bCs/>
          <w:b/>
        </w:rPr>
        <w:t xml:space="preserve">H3:</w:t>
      </w:r>
      <w:r>
        <w:t xml:space="preserve"> </w:t>
      </w:r>
      <w:r>
        <w:t xml:space="preserve">Politicians who maintain message consistency across both digital and traditional channels will be perceived as more trustworthy than those who use inconsistent messaging.</w:t>
      </w:r>
    </w:p>
    <w:p>
      <w:pPr>
        <w:numPr>
          <w:ilvl w:val="0"/>
          <w:numId w:val="1002"/>
        </w:numPr>
        <w:pStyle w:val="Compact"/>
      </w:pPr>
      <w:r>
        <w:rPr>
          <w:bCs/>
          <w:b/>
        </w:rPr>
        <w:t xml:space="preserve">H4:</w:t>
      </w:r>
      <w:r>
        <w:t xml:space="preserve"> </w:t>
      </w:r>
      <w:r>
        <w:t xml:space="preserve">The perceived authenticity of a politician's communication will be significantly higher when delivered through in-person events in Munich compared to any digital or print medium.</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experimental design combining randomized controlled trials with qualitative interviews. The experiment will be conducted over a period of six months, from November 2024 to April 2025, to account for seasonal variations in political engagement.</w:t>
      </w:r>
    </w:p>
    <w:bookmarkEnd w:id="23"/>
    <w:bookmarkStart w:id="24" w:name="participants"/>
    <w:p>
      <w:pPr>
        <w:pStyle w:val="Heading3"/>
      </w:pPr>
      <w:r>
        <w:t xml:space="preserve">4.2 Participants</w:t>
      </w:r>
    </w:p>
    <w:p>
      <w:pPr>
        <w:pStyle w:val="FirstParagraph"/>
      </w:pPr>
      <w:r>
        <w:t xml:space="preserve">The target population consists of registered voters residing in Munich, Germany. We aim to recruit a sample of 1,200 participants, stratified by age, gender, and district of residence to ensure representativeness. Munich's diverse districts—from the affluent Schwabing to the working-class Milbertshofen—will be proportionally represented.</w:t>
      </w:r>
    </w:p>
    <w:p>
      <w:pPr>
        <w:pStyle w:val="BodyText"/>
      </w:pPr>
      <w:r>
        <w:t xml:space="preserve">Inclusion criteria:</w:t>
      </w:r>
    </w:p>
    <w:p>
      <w:pPr>
        <w:numPr>
          <w:ilvl w:val="0"/>
          <w:numId w:val="1003"/>
        </w:numPr>
        <w:pStyle w:val="Compact"/>
      </w:pPr>
      <w:r>
        <w:t xml:space="preserve">Must be a registered voter in Munich</w:t>
      </w:r>
    </w:p>
    <w:p>
      <w:pPr>
        <w:numPr>
          <w:ilvl w:val="0"/>
          <w:numId w:val="1003"/>
        </w:numPr>
        <w:pStyle w:val="Compact"/>
      </w:pPr>
      <w:r>
        <w:t xml:space="preserve">Must be at least 18 years of age</w:t>
      </w:r>
    </w:p>
    <w:p>
      <w:pPr>
        <w:numPr>
          <w:ilvl w:val="0"/>
          <w:numId w:val="1003"/>
        </w:numPr>
        <w:pStyle w:val="Compact"/>
      </w:pPr>
      <w:r>
        <w:t xml:space="preserve">Must have resided in Munich for at least one year</w:t>
      </w:r>
    </w:p>
    <w:p>
      <w:pPr>
        <w:numPr>
          <w:ilvl w:val="0"/>
          <w:numId w:val="1003"/>
        </w:numPr>
        <w:pStyle w:val="Compact"/>
      </w:pPr>
      <w:r>
        <w:t xml:space="preserve">Must provide informed consent in German or English</w:t>
      </w:r>
    </w:p>
    <w:bookmarkEnd w:id="24"/>
    <w:bookmarkStart w:id="25" w:name="experimental-conditions"/>
    <w:p>
      <w:pPr>
        <w:pStyle w:val="Heading3"/>
      </w:pPr>
      <w:r>
        <w:t xml:space="preserve">4.3 Experimental Conditions</w:t>
      </w:r>
    </w:p>
    <w:p>
      <w:pPr>
        <w:pStyle w:val="FirstParagraph"/>
      </w:pPr>
      <w:r>
        <w:t xml:space="preserve">Participants will be randomly assigned to one of four experimental conditions, each representing a different communication strategy employed by a fictional but realistic politician candidate: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Condition</w:t>
            </w:r>
          </w:p>
        </w:tc>
        <w:tc>
          <w:tcPr/>
          <w:p>
            <w:pPr>
              <w:pStyle w:val="Compact"/>
              <w:jc w:val="left"/>
            </w:pPr>
            <w:r>
              <w:t xml:space="preserve">Communication Strategy</w:t>
            </w:r>
          </w:p>
        </w:tc>
        <w:tc>
          <w:tcPr/>
          <w:p>
            <w:pPr>
              <w:pStyle w:val="Compact"/>
              <w:jc w:val="left"/>
            </w:pPr>
            <w:r>
              <w:t xml:space="preserve">Description</w:t>
            </w:r>
          </w:p>
        </w:tc>
      </w:tr>
      <w:tr>
        <w:tc>
          <w:tcPr/>
          <w:p>
            <w:pPr>
              <w:pStyle w:val="Compact"/>
              <w:jc w:val="left"/>
            </w:pPr>
            <w:r>
              <w:t xml:space="preserve">Condition A</w:t>
            </w:r>
          </w:p>
        </w:tc>
        <w:tc>
          <w:tcPr/>
          <w:p>
            <w:pPr>
              <w:pStyle w:val="Compact"/>
              <w:jc w:val="left"/>
            </w:pPr>
            <w:r>
              <w:t xml:space="preserve">Digital-Only</w:t>
            </w:r>
          </w:p>
        </w:tc>
        <w:tc>
          <w:tcPr/>
          <w:p>
            <w:pPr>
              <w:pStyle w:val="Compact"/>
              <w:jc w:val="left"/>
            </w:pPr>
            <w:r>
              <w:t xml:space="preserve">Politician communicates exclusively through social media (Instagram, Facebook, Twitter/X), email newsletters, and a personal website.</w:t>
            </w:r>
          </w:p>
        </w:tc>
      </w:tr>
      <w:tr>
        <w:tc>
          <w:tcPr/>
          <w:p>
            <w:pPr>
              <w:pStyle w:val="Compact"/>
              <w:jc w:val="left"/>
            </w:pPr>
            <w:r>
              <w:t xml:space="preserve">Condition B</w:t>
            </w:r>
          </w:p>
        </w:tc>
        <w:tc>
          <w:tcPr/>
          <w:p>
            <w:pPr>
              <w:pStyle w:val="Compact"/>
              <w:jc w:val="left"/>
            </w:pPr>
            <w:r>
              <w:t xml:space="preserve">Traditional-Only</w:t>
            </w:r>
          </w:p>
        </w:tc>
        <w:tc>
          <w:tcPr/>
          <w:p>
            <w:pPr>
              <w:pStyle w:val="Compact"/>
              <w:jc w:val="left"/>
            </w:pPr>
            <w:r>
              <w:t xml:space="preserve">Politician communicates exclusively through printed flyers, local newspaper ads, radio spots on Bayern 3 and BR Klassik, and in-person town hall meetings in Munich.</w:t>
            </w:r>
          </w:p>
        </w:tc>
      </w:tr>
      <w:tr>
        <w:tc>
          <w:tcPr/>
          <w:p>
            <w:pPr>
              <w:pStyle w:val="Compact"/>
              <w:jc w:val="left"/>
            </w:pPr>
            <w:r>
              <w:t xml:space="preserve">Condition C</w:t>
            </w:r>
          </w:p>
        </w:tc>
        <w:tc>
          <w:tcPr/>
          <w:p>
            <w:pPr>
              <w:pStyle w:val="Compact"/>
              <w:jc w:val="left"/>
            </w:pPr>
            <w:r>
              <w:t xml:space="preserve">Integrated Consistent</w:t>
            </w:r>
          </w:p>
        </w:tc>
        <w:tc>
          <w:tcPr/>
          <w:p>
            <w:pPr>
              <w:pStyle w:val="Compact"/>
              <w:jc w:val="left"/>
            </w:pPr>
            <w:r>
              <w:t xml:space="preserve">Politician uses both digital and traditional channels with consistent messaging across all platforms.</w:t>
            </w:r>
          </w:p>
        </w:tc>
      </w:tr>
      <w:tr>
        <w:tc>
          <w:tcPr/>
          <w:p>
            <w:pPr>
              <w:pStyle w:val="Compact"/>
              <w:jc w:val="left"/>
            </w:pPr>
            <w:r>
              <w:t xml:space="preserve">Condition D</w:t>
            </w:r>
          </w:p>
        </w:tc>
        <w:tc>
          <w:tcPr/>
          <w:p>
            <w:pPr>
              <w:pStyle w:val="Compact"/>
              <w:jc w:val="left"/>
            </w:pPr>
            <w:r>
              <w:t xml:space="preserve">Integrated Inconsistent</w:t>
            </w:r>
          </w:p>
        </w:tc>
        <w:tc>
          <w:tcPr/>
          <w:p>
            <w:pPr>
              <w:pStyle w:val="Compact"/>
              <w:jc w:val="left"/>
            </w:pPr>
            <w:r>
              <w:t xml:space="preserve">Politician uses both digital and traditional channels but with deliberately inconsistent messaging (e.g., different policy positions emphasized on different platforms).</w:t>
            </w:r>
          </w:p>
        </w:tc>
      </w:tr>
    </w:tbl>
    <w:bookmarkEnd w:id="25"/>
    <w:bookmarkStart w:id="26" w:name="procedure"/>
    <w:p>
      <w:pPr>
        <w:pStyle w:val="Heading3"/>
      </w:pPr>
      <w:r>
        <w:t xml:space="preserve">4.4 Procedure</w:t>
      </w:r>
    </w:p>
    <w:p>
      <w:pPr>
        <w:pStyle w:val="FirstParagraph"/>
      </w:pPr>
      <w:r>
        <w:t xml:space="preserve">The experiment will proceed in three phases:</w:t>
      </w:r>
    </w:p>
    <w:p>
      <w:pPr>
        <w:numPr>
          <w:ilvl w:val="0"/>
          <w:numId w:val="1004"/>
        </w:numPr>
        <w:pStyle w:val="Compact"/>
      </w:pPr>
      <w:r>
        <w:rPr>
          <w:bCs/>
          <w:b/>
        </w:rPr>
        <w:t xml:space="preserve">Baseline Survey (Week 1-2):</w:t>
      </w:r>
      <w:r>
        <w:t xml:space="preserve"> </w:t>
      </w:r>
      <w:r>
        <w:t xml:space="preserve">All participants will complete an initial survey assessing their current political attitudes, trust in politicians, media consumption habits, and demographic information.</w:t>
      </w:r>
    </w:p>
    <w:p>
      <w:pPr>
        <w:numPr>
          <w:ilvl w:val="0"/>
          <w:numId w:val="1004"/>
        </w:numPr>
        <w:pStyle w:val="Compact"/>
      </w:pPr>
      <w:r>
        <w:rPr>
          <w:bCs/>
          <w:b/>
        </w:rPr>
        <w:t xml:space="preserve">Intervention Phase (Weeks 3-20):</w:t>
      </w:r>
      <w:r>
        <w:t xml:space="preserve"> </w:t>
      </w:r>
      <w:r>
        <w:t xml:space="preserve">Participants will be exposed to the communication materials corresponding to their assigned condition. Digital materials will be delivered via simulated social media accounts and email. Traditional materials will be mailed to participants' addresses or presented during scheduled in-person events in various Munich locations.</w:t>
      </w:r>
    </w:p>
    <w:p>
      <w:pPr>
        <w:numPr>
          <w:ilvl w:val="0"/>
          <w:numId w:val="1004"/>
        </w:numPr>
        <w:pStyle w:val="Compact"/>
      </w:pPr>
      <w:r>
        <w:rPr>
          <w:bCs/>
          <w:b/>
        </w:rPr>
        <w:t xml:space="preserve">Post-Intervention Assessment (Weeks 21-24):</w:t>
      </w:r>
      <w:r>
        <w:t xml:space="preserve"> </w:t>
      </w:r>
      <w:r>
        <w:t xml:space="preserve">Participants will complete a follow-up survey measuring changes in trust, perceived authenticity, and likelihood of supporting the politician. A subset of 100 participants will also undergo semi-structured interviews to provide qualitative insights.</w:t>
      </w:r>
    </w:p>
    <w:bookmarkEnd w:id="26"/>
    <w:bookmarkEnd w:id="27"/>
    <w:bookmarkStart w:id="28" w:name="measures-and-data-collection"/>
    <w:p>
      <w:pPr>
        <w:pStyle w:val="Heading2"/>
      </w:pPr>
      <w:r>
        <w:t xml:space="preserve">5. Measures and Data Collection</w:t>
      </w:r>
    </w:p>
    <w:p>
      <w:pPr>
        <w:pStyle w:val="FirstParagraph"/>
      </w:pPr>
      <w:r>
        <w:t xml:space="preserve">The primary dependent variables are:</w:t>
      </w:r>
    </w:p>
    <w:p>
      <w:pPr>
        <w:numPr>
          <w:ilvl w:val="0"/>
          <w:numId w:val="1005"/>
        </w:numPr>
        <w:pStyle w:val="Compact"/>
      </w:pPr>
      <w:r>
        <w:rPr>
          <w:bCs/>
          <w:b/>
        </w:rPr>
        <w:t xml:space="preserve">Trust in Politician:</w:t>
      </w:r>
      <w:r>
        <w:t xml:space="preserve"> </w:t>
      </w:r>
      <w:r>
        <w:t xml:space="preserve">Measured using a validated 10-item scale assessing competence, integrity, and benevolence.</w:t>
      </w:r>
    </w:p>
    <w:p>
      <w:pPr>
        <w:numPr>
          <w:ilvl w:val="0"/>
          <w:numId w:val="1005"/>
        </w:numPr>
        <w:pStyle w:val="Compact"/>
      </w:pPr>
      <w:r>
        <w:rPr>
          <w:bCs/>
          <w:b/>
        </w:rPr>
        <w:t xml:space="preserve">Perceived Authenticity:</w:t>
      </w:r>
      <w:r>
        <w:t xml:space="preserve"> </w:t>
      </w:r>
      <w:r>
        <w:t xml:space="preserve">Measured using a 7-item scale evaluating the genuineness and sincerity of the politician's communication.</w:t>
      </w:r>
    </w:p>
    <w:p>
      <w:pPr>
        <w:numPr>
          <w:ilvl w:val="0"/>
          <w:numId w:val="1005"/>
        </w:numPr>
        <w:pStyle w:val="Compact"/>
      </w:pPr>
      <w:r>
        <w:rPr>
          <w:bCs/>
          <w:b/>
        </w:rPr>
        <w:t xml:space="preserve">Political Engagement:</w:t>
      </w:r>
      <w:r>
        <w:t xml:space="preserve"> </w:t>
      </w:r>
      <w:r>
        <w:t xml:space="preserve">Measured by self-reported intentions to vote, attend events, and engage in political discussion.</w:t>
      </w:r>
    </w:p>
    <w:p>
      <w:pPr>
        <w:pStyle w:val="FirstParagraph"/>
      </w:pPr>
      <w:r>
        <w:t xml:space="preserve">All surveys will be administered in German to ensure cultural and linguistic appropriateness. Data will be collected using a secure online platform compliant with Germany's General Data Protection Regulation (GDPR).</w:t>
      </w:r>
    </w:p>
    <w:bookmarkEnd w:id="28"/>
    <w:bookmarkStart w:id="29" w:name="ethical-considerations"/>
    <w:p>
      <w:pPr>
        <w:pStyle w:val="Heading2"/>
      </w:pPr>
      <w:r>
        <w:t xml:space="preserve">6. Ethical Considerations</w:t>
      </w:r>
    </w:p>
    <w:p>
      <w:pPr>
        <w:pStyle w:val="FirstParagraph"/>
      </w:pPr>
      <w:r>
        <w:t xml:space="preserve">This study has been reviewed and approved by the LMU Munich Ethics Board for Social Sciences. Key ethical safeguards include:</w:t>
      </w:r>
    </w:p>
    <w:p>
      <w:pPr>
        <w:numPr>
          <w:ilvl w:val="0"/>
          <w:numId w:val="1006"/>
        </w:numPr>
        <w:pStyle w:val="Compact"/>
      </w:pPr>
      <w:r>
        <w:t xml:space="preserve">Informed consent obtained from all participants prior to enrollment.</w:t>
      </w:r>
    </w:p>
    <w:p>
      <w:pPr>
        <w:numPr>
          <w:ilvl w:val="0"/>
          <w:numId w:val="1006"/>
        </w:numPr>
        <w:pStyle w:val="Compact"/>
      </w:pPr>
      <w:r>
        <w:t xml:space="preserve">Complete anonymity and confidentiality of participant data.</w:t>
      </w:r>
    </w:p>
    <w:p>
      <w:pPr>
        <w:numPr>
          <w:ilvl w:val="0"/>
          <w:numId w:val="1006"/>
        </w:numPr>
        <w:pStyle w:val="Compact"/>
      </w:pPr>
      <w:r>
        <w:t xml:space="preserve">Right to withdraw from the study at any time without penalty.</w:t>
      </w:r>
    </w:p>
    <w:p>
      <w:pPr>
        <w:numPr>
          <w:ilvl w:val="0"/>
          <w:numId w:val="1006"/>
        </w:numPr>
        <w:pStyle w:val="Compact"/>
      </w:pPr>
      <w:r>
        <w:t xml:space="preserve">Debriefing session provided to all participants after the study concludes, explaining the true nature of the experiment.</w:t>
      </w:r>
    </w:p>
    <w:p>
      <w:pPr>
        <w:numPr>
          <w:ilvl w:val="0"/>
          <w:numId w:val="1006"/>
        </w:numPr>
        <w:pStyle w:val="Compact"/>
      </w:pPr>
      <w:r>
        <w:t xml:space="preserve">Compliance with all applicable German laws regarding data protection and political research.</w:t>
      </w:r>
    </w:p>
    <w:bookmarkEnd w:id="29"/>
    <w:bookmarkStart w:id="30" w:name="data-analysis-plan"/>
    <w:p>
      <w:pPr>
        <w:pStyle w:val="Heading2"/>
      </w:pPr>
      <w:r>
        <w:t xml:space="preserve">7. Data Analysis Plan</w:t>
      </w:r>
    </w:p>
    <w:p>
      <w:pPr>
        <w:pStyle w:val="FirstParagraph"/>
      </w:pPr>
      <w:r>
        <w:t xml:space="preserve">Quantitative data will be analyzed using ANOVA and multiple regression techniques to test the hypotheses. Qualitative data from interviews will be analyzed using thematic analysis to identify recurring patterns and insights. All analyses will be conducted using R statistical software.</w:t>
      </w:r>
    </w:p>
    <w:bookmarkEnd w:id="30"/>
    <w:bookmarkStart w:id="31" w:name="expected-outcomes-and-implications"/>
    <w:p>
      <w:pPr>
        <w:pStyle w:val="Heading2"/>
      </w:pPr>
      <w:r>
        <w:t xml:space="preserve">8. Expected Outcomes and Implications</w:t>
      </w:r>
    </w:p>
    <w:p>
      <w:pPr>
        <w:pStyle w:val="FirstParagraph"/>
      </w:pPr>
      <w:r>
        <w:t xml:space="preserve">This experiment is expected to provide valuable insights into the evolving nature of political communication in Munich and Germany more broadly. The findings will inform politicians, campaign strategists, and civic organizations about the most effective ways to engage with voters in an increasingly digital world. Additionally, the study will contribute to the broader academic literature on political psychology and communication.</w:t>
      </w:r>
    </w:p>
    <w:p>
      <w:pPr>
        <w:pStyle w:val="BodyText"/>
      </w:pPr>
      <w:r>
        <w:t xml:space="preserve">© 2024 Experiment Protocol: Political Communication Dynamics in Munich. All rights reserved.</w:t>
      </w:r>
    </w:p>
    <w:p>
      <w:pPr>
        <w:pStyle w:val="BodyText"/>
      </w:pPr>
      <w:r>
        <w:t xml:space="preserve">This document is confidential and intended for research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Munich</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