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Civic</w:t>
      </w:r>
      <w:r>
        <w:t xml:space="preserve"> </w:t>
      </w:r>
      <w:r>
        <w:t xml:space="preserve">Engagement</w:t>
      </w:r>
      <w:r>
        <w:t xml:space="preserve"> </w:t>
      </w:r>
      <w:r>
        <w:t xml:space="preserve">and</w:t>
      </w:r>
      <w:r>
        <w:t xml:space="preserve"> </w:t>
      </w:r>
      <w:r>
        <w:t xml:space="preserve">Policy</w:t>
      </w:r>
      <w:r>
        <w:t xml:space="preserve"> </w:t>
      </w:r>
      <w:r>
        <w:t xml:space="preserve">Responsiveness</w:t>
      </w:r>
      <w:r>
        <w:t xml:space="preserve"> </w:t>
      </w:r>
      <w:r>
        <w:t xml:space="preserve">in</w:t>
      </w:r>
      <w:r>
        <w:t xml:space="preserve"> </w:t>
      </w:r>
      <w:r>
        <w:t xml:space="preserve">India</w:t>
      </w:r>
      <w:r>
        <w:t xml:space="preserve"> </w:t>
      </w:r>
      <w:r>
        <w:t xml:space="preserve">Bangalore</w:t>
      </w:r>
    </w:p>
    <w:bookmarkStart w:id="20" w:name="Xc22356d650e9af30d573409392d3b0618d7e0e6"/>
    <w:p>
      <w:pPr>
        <w:pStyle w:val="Heading1"/>
      </w:pPr>
      <w:r>
        <w:t xml:space="preserve">Experiment Protocol: Civic Engagement and Policy Responsiveness</w:t>
      </w:r>
    </w:p>
    <w:p>
      <w:pPr>
        <w:pStyle w:val="FirstParagraph"/>
      </w:pPr>
      <w:r>
        <w:rPr>
          <w:bCs/>
          <w:b/>
        </w:rPr>
        <w:t xml:space="preserve">Location:</w:t>
      </w:r>
      <w:r>
        <w:t xml:space="preserve"> </w:t>
      </w:r>
      <w:r>
        <w:t xml:space="preserve">India Bangalore (Bengaluru), Karnataka</w:t>
      </w:r>
    </w:p>
    <w:p>
      <w:pPr>
        <w:pStyle w:val="BodyText"/>
      </w:pPr>
      <w:r>
        <w:rPr>
          <w:bCs/>
          <w:b/>
        </w:rPr>
        <w:t xml:space="preserve">Subject:</w:t>
      </w:r>
      <w:r>
        <w:t xml:space="preserve"> </w:t>
      </w:r>
      <w:r>
        <w:t xml:space="preserve">Politician Accountability and Urban Governance</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India Bangalore, often referred to as the Silicon Valley of India, faces unique urban challenges including rapid population growth, traffic congestion, water scarcity, and infrastructure deficits. The effectiveness of local governance and the responsiveness of elected officials are critical to addressing these issues. This Experiment Protocol outlines a structured approach to evaluate how Politician engagement influences policy outcomes and citizen satisfaction in India Bangalore.</w:t>
      </w:r>
    </w:p>
    <w:p>
      <w:pPr>
        <w:pStyle w:val="BodyText"/>
      </w:pPr>
      <w:r>
        <w:t xml:space="preserve">The study aims to provide empirical evidence on the relationship between Politician accountability mechanisms and urban service delivery. By focusing on India Bangalore, this protocol leverages the city's technological infrastructure and diverse demographic profile to create a replicable model for other Indian metropolitan areas.</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impact of direct Politician-citizen interaction platforms on policy responsiveness in India Bangalore.</w:t>
      </w:r>
    </w:p>
    <w:p>
      <w:pPr>
        <w:numPr>
          <w:ilvl w:val="0"/>
          <w:numId w:val="1001"/>
        </w:numPr>
        <w:pStyle w:val="Compact"/>
      </w:pPr>
      <w:r>
        <w:t xml:space="preserve">To measure changes in citizen trust and satisfaction with local governance when Politician accountability is enhanced.</w:t>
      </w:r>
    </w:p>
    <w:p>
      <w:pPr>
        <w:numPr>
          <w:ilvl w:val="0"/>
          <w:numId w:val="1001"/>
        </w:numPr>
        <w:pStyle w:val="Compact"/>
      </w:pPr>
      <w:r>
        <w:t xml:space="preserve">To identify best practices for integrating technology-driven feedback loops into India Bangalore's municipal governance framework.</w:t>
      </w:r>
    </w:p>
    <w:p>
      <w:pPr>
        <w:numPr>
          <w:ilvl w:val="0"/>
          <w:numId w:val="1001"/>
        </w:numPr>
        <w:pStyle w:val="Compact"/>
      </w:pPr>
      <w:r>
        <w:t xml:space="preserve">To evaluate the correlation between Politician performance metrics and tangible improvements in urban services.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Protocol employs a mixed-methods approach combining quantitative surveys, qualitative interviews, and real-time data analytics. The study will be conducted across five selected wards in India Bangalore, representing diverse socio-economic profiles.</w:t>
      </w:r>
    </w:p>
    <w:bookmarkEnd w:id="23"/>
    <w:bookmarkStart w:id="24" w:name="participant-selection"/>
    <w:p>
      <w:pPr>
        <w:pStyle w:val="Heading3"/>
      </w:pPr>
      <w:r>
        <w:t xml:space="preserve">3.2 Participant Selection</w:t>
      </w:r>
    </w:p>
    <w:p>
      <w:pPr>
        <w:pStyle w:val="FirstParagraph"/>
      </w:pPr>
      <w:r>
        <w:rPr>
          <w:bCs/>
          <w:b/>
        </w:rPr>
        <w:t xml:space="preserve">Politician Group:</w:t>
      </w:r>
      <w:r>
        <w:t xml:space="preserve"> </w:t>
      </w:r>
      <w:r>
        <w:t xml:space="preserve">Elected representatives (MLAs and Corporators) from the selected wards will participate voluntarily. Their engagement levels will be tracked through predefined metrics.</w:t>
      </w:r>
    </w:p>
    <w:p>
      <w:pPr>
        <w:pStyle w:val="BodyText"/>
      </w:pPr>
      <w:r>
        <w:rPr>
          <w:bCs/>
          <w:b/>
        </w:rPr>
        <w:t xml:space="preserve">Citizen Group:</w:t>
      </w:r>
      <w:r>
        <w:t xml:space="preserve"> </w:t>
      </w:r>
      <w:r>
        <w:t xml:space="preserve">A stratified random sample of 5,000 residents from the selected wards will be recruited. Participants will be categorized based on age, gender, income level, and digital literacy to ensure representativeness.</w:t>
      </w:r>
    </w:p>
    <w:bookmarkEnd w:id="24"/>
    <w:bookmarkStart w:id="25" w:name="intervention-strategy"/>
    <w:p>
      <w:pPr>
        <w:pStyle w:val="Heading3"/>
      </w:pPr>
      <w:r>
        <w:t xml:space="preserve">3.3 Intervention Strategy</w:t>
      </w:r>
    </w:p>
    <w:p>
      <w:pPr>
        <w:pStyle w:val="FirstParagraph"/>
      </w:pPr>
      <w:r>
        <w:t xml:space="preserve">The core intervention involves deploying a digital platform that enables citizens in India Bangalore to submit grievances, track Politician responses, and rate service outcomes. Politician participation will be incentivized through public performance dashboards and media coverage.</w:t>
      </w:r>
    </w:p>
    <w:p>
      <w:pPr>
        <w:numPr>
          <w:ilvl w:val="0"/>
          <w:numId w:val="1002"/>
        </w:numPr>
        <w:pStyle w:val="Compact"/>
      </w:pPr>
      <w:r>
        <w:rPr>
          <w:bCs/>
          <w:b/>
        </w:rPr>
        <w:t xml:space="preserve">Phase 1 (Baseline):</w:t>
      </w:r>
      <w:r>
        <w:t xml:space="preserve"> </w:t>
      </w:r>
      <w:r>
        <w:t xml:space="preserve">Collect initial data on citizen satisfaction, Politician responsiveness, and service delivery metrics.</w:t>
      </w:r>
    </w:p>
    <w:p>
      <w:pPr>
        <w:numPr>
          <w:ilvl w:val="0"/>
          <w:numId w:val="1002"/>
        </w:numPr>
        <w:pStyle w:val="Compact"/>
      </w:pPr>
      <w:r>
        <w:rPr>
          <w:bCs/>
          <w:b/>
        </w:rPr>
        <w:t xml:space="preserve">Phase 2 (Intervention):</w:t>
      </w:r>
      <w:r>
        <w:t xml:space="preserve"> </w:t>
      </w:r>
      <w:r>
        <w:t xml:space="preserve">Launch the digital platform and conduct monthly town hall meetings facilitated by Politician representatives.</w:t>
      </w:r>
    </w:p>
    <w:p>
      <w:pPr>
        <w:numPr>
          <w:ilvl w:val="0"/>
          <w:numId w:val="1002"/>
        </w:numPr>
        <w:pStyle w:val="Compact"/>
      </w:pPr>
      <w:r>
        <w:rPr>
          <w:bCs/>
          <w:b/>
        </w:rPr>
        <w:t xml:space="preserve">Phase 3 (Evaluation):</w:t>
      </w:r>
      <w:r>
        <w:t xml:space="preserve"> </w:t>
      </w:r>
      <w:r>
        <w:t xml:space="preserve">Analyze post-intervention data to measure changes in key indicators.</w:t>
      </w:r>
    </w:p>
    <w:bookmarkEnd w:id="25"/>
    <w:bookmarkEnd w:id="26"/>
    <w:bookmarkStart w:id="30" w:name="data-collection-and-analysis"/>
    <w:p>
      <w:pPr>
        <w:pStyle w:val="Heading2"/>
      </w:pPr>
      <w:r>
        <w:t xml:space="preserve">4. Data Collection and Analysis</w:t>
      </w:r>
    </w:p>
    <w:bookmarkStart w:id="27" w:name="data-sources"/>
    <w:p>
      <w:pPr>
        <w:pStyle w:val="Heading3"/>
      </w:pPr>
      <w:r>
        <w:t xml:space="preserve">4.1 Data Sources</w:t>
      </w:r>
    </w:p>
    <w:p>
      <w:pPr>
        <w:numPr>
          <w:ilvl w:val="0"/>
          <w:numId w:val="1003"/>
        </w:numPr>
        <w:pStyle w:val="Compact"/>
      </w:pPr>
      <w:r>
        <w:t xml:space="preserve">Surveys administered via mobile apps and paper forms to capture citizen feedback.</w:t>
      </w:r>
    </w:p>
    <w:p>
      <w:pPr>
        <w:numPr>
          <w:ilvl w:val="0"/>
          <w:numId w:val="1003"/>
        </w:numPr>
        <w:pStyle w:val="Compact"/>
      </w:pPr>
      <w:r>
        <w:t xml:space="preserve">Interviews with Politician representatives and municipal officials.</w:t>
      </w:r>
    </w:p>
    <w:p>
      <w:pPr>
        <w:numPr>
          <w:ilvl w:val="0"/>
          <w:numId w:val="1003"/>
        </w:numPr>
        <w:pStyle w:val="Compact"/>
      </w:pPr>
      <w:r>
        <w:t xml:space="preserve">Administrative data from India Bangalore's Bruhat Bengaluru Mahanagara Palike (BBMP) on service delivery timelines.</w:t>
      </w:r>
    </w:p>
    <w:p>
      <w:pPr>
        <w:numPr>
          <w:ilvl w:val="0"/>
          <w:numId w:val="1003"/>
        </w:numPr>
        <w:pStyle w:val="Compact"/>
      </w:pPr>
      <w:r>
        <w:t xml:space="preserve">Social media sentiment analysis to gauge public perception of Politician performance.</w:t>
      </w:r>
    </w:p>
    <w:bookmarkEnd w:id="27"/>
    <w:bookmarkStart w:id="28" w:name="key-metrics"/>
    <w:p>
      <w:pPr>
        <w:pStyle w:val="Heading3"/>
      </w:pPr>
      <w:r>
        <w:t xml:space="preserve">4.2 Key Metrics</w:t>
      </w:r>
    </w:p>
    <w:p>
      <w:pPr>
        <w:pStyle w:val="FirstParagraph"/>
      </w:pPr>
      <w:r>
        <w:t xml:space="preserve">The Experiment Protocol will track the following metrics:</w:t>
      </w:r>
    </w:p>
    <w:p>
      <w:pPr>
        <w:numPr>
          <w:ilvl w:val="0"/>
          <w:numId w:val="1004"/>
        </w:numPr>
        <w:pStyle w:val="Compact"/>
      </w:pPr>
      <w:r>
        <w:t xml:space="preserve">Response time of Politician to citizen grievances.</w:t>
      </w:r>
    </w:p>
    <w:p>
      <w:pPr>
        <w:numPr>
          <w:ilvl w:val="0"/>
          <w:numId w:val="1004"/>
        </w:numPr>
        <w:pStyle w:val="Compact"/>
      </w:pPr>
      <w:r>
        <w:t xml:space="preserve">Resolution rate of reported issues within 30 days.</w:t>
      </w:r>
    </w:p>
    <w:p>
      <w:pPr>
        <w:numPr>
          <w:ilvl w:val="0"/>
          <w:numId w:val="1004"/>
        </w:numPr>
        <w:pStyle w:val="Compact"/>
      </w:pPr>
      <w:r>
        <w:t xml:space="preserve">Citizen satisfaction scores on a scale of 1-10.</w:t>
      </w:r>
    </w:p>
    <w:p>
      <w:pPr>
        <w:numPr>
          <w:ilvl w:val="0"/>
          <w:numId w:val="1004"/>
        </w:numPr>
        <w:pStyle w:val="Compact"/>
      </w:pPr>
      <w:r>
        <w:t xml:space="preserve">Frequency of Politician-led community engagement events.</w:t>
      </w:r>
    </w:p>
    <w:p>
      <w:pPr>
        <w:numPr>
          <w:ilvl w:val="0"/>
          <w:numId w:val="1004"/>
        </w:numPr>
        <w:pStyle w:val="Compact"/>
      </w:pPr>
      <w:r>
        <w:t xml:space="preserve">Changes in voter turnout and political participation in subsequent elections.</w:t>
      </w:r>
    </w:p>
    <w:bookmarkEnd w:id="28"/>
    <w:bookmarkStart w:id="29" w:name="analytical-framework"/>
    <w:p>
      <w:pPr>
        <w:pStyle w:val="Heading3"/>
      </w:pPr>
      <w:r>
        <w:t xml:space="preserve">4.3 Analytical Framework</w:t>
      </w:r>
    </w:p>
    <w:p>
      <w:pPr>
        <w:pStyle w:val="FirstParagraph"/>
      </w:pPr>
      <w:r>
        <w:t xml:space="preserve">Quantitative data will be analyzed using statistical software to identify correlations and causal relationships. Qualitative data will undergo thematic analysis to extract insights into citizen experiences and Politician perspectives. The findings will be triangulated to ensure validity and reliability.</w:t>
      </w:r>
    </w:p>
    <w:bookmarkEnd w:id="29"/>
    <w:bookmarkEnd w:id="30"/>
    <w:bookmarkStart w:id="31" w:name="ethical-considerations"/>
    <w:p>
      <w:pPr>
        <w:pStyle w:val="Heading2"/>
      </w:pPr>
      <w:r>
        <w:t xml:space="preserve">5. Ethical Considerations</w:t>
      </w:r>
    </w:p>
    <w:p>
      <w:pPr>
        <w:pStyle w:val="FirstParagraph"/>
      </w:pPr>
      <w:r>
        <w:t xml:space="preserve">This Experiment Protocol adheres to strict ethical guidelines to protect participant rights and ensure data integrity:</w:t>
      </w:r>
    </w:p>
    <w:p>
      <w:pPr>
        <w:numPr>
          <w:ilvl w:val="0"/>
          <w:numId w:val="1005"/>
        </w:numPr>
        <w:pStyle w:val="Compact"/>
      </w:pPr>
      <w:r>
        <w:t xml:space="preserve">Informed consent will be obtained from all participants, including Politician representatives and citizens.</w:t>
      </w:r>
    </w:p>
    <w:p>
      <w:pPr>
        <w:numPr>
          <w:ilvl w:val="0"/>
          <w:numId w:val="1005"/>
        </w:numPr>
        <w:pStyle w:val="Compact"/>
      </w:pPr>
      <w:r>
        <w:t xml:space="preserve">Personal data will be anonymized and stored securely in compliance with India's Information Technology Act.</w:t>
      </w:r>
    </w:p>
    <w:p>
      <w:pPr>
        <w:numPr>
          <w:ilvl w:val="0"/>
          <w:numId w:val="1005"/>
        </w:numPr>
        <w:pStyle w:val="Compact"/>
      </w:pPr>
      <w:r>
        <w:t xml:space="preserve">Participants will have the right to withdraw from the study at any time without penalty.</w:t>
      </w:r>
    </w:p>
    <w:p>
      <w:pPr>
        <w:numPr>
          <w:ilvl w:val="0"/>
          <w:numId w:val="1005"/>
        </w:numPr>
        <w:pStyle w:val="Compact"/>
      </w:pPr>
      <w:r>
        <w:t xml:space="preserve">The study will avoid partisan bias by maintaining neutrality in its design and reporting.</w:t>
      </w:r>
    </w:p>
    <w:bookmarkEnd w:id="31"/>
    <w:bookmarkStart w:id="32" w:name="timeline"/>
    <w:p>
      <w:pPr>
        <w:pStyle w:val="Heading2"/>
      </w:pPr>
      <w:r>
        <w:t xml:space="preserve">6. Timeline</w:t>
      </w:r>
    </w:p>
    <w:p>
      <w:pPr>
        <w:numPr>
          <w:ilvl w:val="0"/>
          <w:numId w:val="1006"/>
        </w:numPr>
        <w:pStyle w:val="Compact"/>
      </w:pPr>
      <w:r>
        <w:rPr>
          <w:bCs/>
          <w:b/>
        </w:rPr>
        <w:t xml:space="preserve">Month 1-2:</w:t>
      </w:r>
      <w:r>
        <w:t xml:space="preserve"> </w:t>
      </w:r>
      <w:r>
        <w:t xml:space="preserve">Preparation, stakeholder engagement, and baseline data collection.</w:t>
      </w:r>
    </w:p>
    <w:p>
      <w:pPr>
        <w:numPr>
          <w:ilvl w:val="0"/>
          <w:numId w:val="1006"/>
        </w:numPr>
        <w:pStyle w:val="Compact"/>
      </w:pPr>
      <w:r>
        <w:rPr>
          <w:bCs/>
          <w:b/>
        </w:rPr>
        <w:t xml:space="preserve">Month 3-8:</w:t>
      </w:r>
      <w:r>
        <w:t xml:space="preserve"> </w:t>
      </w:r>
      <w:r>
        <w:t xml:space="preserve">Implementation of the intervention and continuous monitoring.</w:t>
      </w:r>
    </w:p>
    <w:p>
      <w:pPr>
        <w:numPr>
          <w:ilvl w:val="0"/>
          <w:numId w:val="1006"/>
        </w:numPr>
        <w:pStyle w:val="Compact"/>
      </w:pPr>
      <w:r>
        <w:rPr>
          <w:bCs/>
          <w:b/>
        </w:rPr>
        <w:t xml:space="preserve">Month 9-10:</w:t>
      </w:r>
      <w:r>
        <w:t xml:space="preserve"> </w:t>
      </w:r>
      <w:r>
        <w:t xml:space="preserve">Post-intervention data collection and analysis.</w:t>
      </w:r>
    </w:p>
    <w:p>
      <w:pPr>
        <w:numPr>
          <w:ilvl w:val="0"/>
          <w:numId w:val="1006"/>
        </w:numPr>
        <w:pStyle w:val="Compact"/>
      </w:pPr>
      <w:r>
        <w:rPr>
          <w:bCs/>
          <w:b/>
        </w:rPr>
        <w:t xml:space="preserve">Month 11-12:</w:t>
      </w:r>
      <w:r>
        <w:t xml:space="preserve"> </w:t>
      </w:r>
      <w:r>
        <w:t xml:space="preserve">Reporting and dissemination of findings.</w:t>
      </w:r>
    </w:p>
    <w:bookmarkEnd w:id="32"/>
    <w:bookmarkStart w:id="33" w:name="expected-outcomes"/>
    <w:p>
      <w:pPr>
        <w:pStyle w:val="Heading2"/>
      </w:pPr>
      <w:r>
        <w:t xml:space="preserve">7. Expected Outcomes</w:t>
      </w:r>
    </w:p>
    <w:p>
      <w:pPr>
        <w:pStyle w:val="FirstParagraph"/>
      </w:pPr>
      <w:r>
        <w:t xml:space="preserve">This Experiment Protocol anticipates the following outcomes:</w:t>
      </w:r>
    </w:p>
    <w:p>
      <w:pPr>
        <w:numPr>
          <w:ilvl w:val="0"/>
          <w:numId w:val="1007"/>
        </w:numPr>
        <w:pStyle w:val="Compact"/>
      </w:pPr>
      <w:r>
        <w:t xml:space="preserve">Enhanced transparency and accountability in Politician-citizen interactions in India Bangalore.</w:t>
      </w:r>
    </w:p>
    <w:p>
      <w:pPr>
        <w:numPr>
          <w:ilvl w:val="0"/>
          <w:numId w:val="1007"/>
        </w:numPr>
        <w:pStyle w:val="Compact"/>
      </w:pPr>
      <w:r>
        <w:t xml:space="preserve">Improved efficiency in urban service delivery due to real-time feedback mechanisms.</w:t>
      </w:r>
    </w:p>
    <w:p>
      <w:pPr>
        <w:numPr>
          <w:ilvl w:val="0"/>
          <w:numId w:val="1007"/>
        </w:numPr>
        <w:pStyle w:val="Compact"/>
      </w:pPr>
      <w:r>
        <w:t xml:space="preserve">Increased citizen trust in local governance institutions.</w:t>
      </w:r>
    </w:p>
    <w:p>
      <w:pPr>
        <w:numPr>
          <w:ilvl w:val="0"/>
          <w:numId w:val="1007"/>
        </w:numPr>
        <w:pStyle w:val="Compact"/>
      </w:pPr>
      <w:r>
        <w:t xml:space="preserve">A scalable model for other Indian cities to adopt similar accountability frameworks.</w:t>
      </w:r>
    </w:p>
    <w:bookmarkEnd w:id="33"/>
    <w:bookmarkStart w:id="34" w:name="conclusion"/>
    <w:p>
      <w:pPr>
        <w:pStyle w:val="Heading2"/>
      </w:pPr>
      <w:r>
        <w:t xml:space="preserve">8. Conclusion</w:t>
      </w:r>
    </w:p>
    <w:p>
      <w:pPr>
        <w:pStyle w:val="FirstParagraph"/>
      </w:pPr>
      <w:r>
        <w:t xml:space="preserve">By implementing this Experiment Protocol, we aim to bridge the gap between Politician commitments and citizen expectations in India Bangalore. The insights gained will contribute to evidence-based policy-making and foster a culture of accountability in urban governance. This initiative underscores the importance of collaborative efforts between citizens, Politician representatives, and municipal authorities to build resilient and responsive cities.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Civic Engagement and Policy Responsiveness in India Bangalore</dc:title>
  <dc:creator/>
  <dc:language>en</dc:language>
  <cp:keywords/>
  <dcterms:created xsi:type="dcterms:W3CDTF">2026-10-10T09:10:30Z</dcterms:created>
  <dcterms:modified xsi:type="dcterms:W3CDTF">2026-10-10T09:10:30Z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