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Political</w:t>
      </w:r>
      <w:r>
        <w:t xml:space="preserve"> </w:t>
      </w:r>
      <w:r>
        <w:t xml:space="preserve">Accountability</w:t>
      </w:r>
      <w:r>
        <w:t xml:space="preserve"> </w:t>
      </w:r>
      <w:r>
        <w:t xml:space="preserve">and</w:t>
      </w:r>
      <w:r>
        <w:t xml:space="preserve"> </w:t>
      </w:r>
      <w:r>
        <w:t xml:space="preserve">Civic</w:t>
      </w:r>
      <w:r>
        <w:t xml:space="preserve"> </w:t>
      </w:r>
      <w:r>
        <w:t xml:space="preserve">Engagement</w:t>
      </w:r>
      <w:r>
        <w:t xml:space="preserve"> </w:t>
      </w:r>
      <w:r>
        <w:t xml:space="preserve">in</w:t>
      </w:r>
      <w:r>
        <w:t xml:space="preserve"> </w:t>
      </w:r>
      <w:r>
        <w:t xml:space="preserve">Baghdad</w:t>
      </w:r>
    </w:p>
    <w:bookmarkStart w:id="20" w:name="Xc32122b4f8bc2d178ce1cd91a1c20de5ecdc22f"/>
    <w:p>
      <w:pPr>
        <w:pStyle w:val="Heading1"/>
      </w:pPr>
      <w:r>
        <w:t xml:space="preserve">Experiment Protocol: Enhancing Political Accountability and Civic Engagement in Baghdad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EP-BGD-2024-001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Politician Performance and Public Trust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a structured research initiative designed to evaluate the impact of digital transparency tools on the accountability of local politicians in Baghdad, Iraq. The political landscape in Baghdad is complex, characterized by a mix of traditional patronage networks, sectarian dynamics, and a growing demand for good governance among the citizenry. Recent years have seen significant civic unrest driven by demands for better public services, job creation, and an end to corruption.</w:t>
      </w:r>
    </w:p>
    <w:p>
      <w:pPr>
        <w:pStyle w:val="BodyText"/>
      </w:pPr>
      <w:r>
        <w:t xml:space="preserve">The primary objective of this experiment is to test whether providing citizens with real-time, data-driven information about their local representatives' legislative activities and constituency service delivery can increase political accountability and voter engagement. The focus is specifically on municipal-level politicians in selected districts of Baghdad, where the gap between public expectation and political performance is most acute.</w:t>
      </w:r>
    </w:p>
    <w:bookmarkEnd w:id="21"/>
    <w:bookmarkStart w:id="22" w:name="research-objectives"/>
    <w:p>
      <w:pPr>
        <w:pStyle w:val="Heading2"/>
      </w:pPr>
      <w:r>
        <w:t xml:space="preserve">2. Research Objectives</w:t>
      </w:r>
    </w:p>
    <w:p>
      <w:pPr>
        <w:pStyle w:val="FirstParagraph"/>
      </w:pPr>
      <w:r>
        <w:t xml:space="preserve">The experiment aims to achieve the following specific objectives: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Measure Accountability:</w:t>
      </w:r>
      <w:r>
        <w:t xml:space="preserve"> </w:t>
      </w:r>
      <w:r>
        <w:t xml:space="preserve">Assess whether increased visibility of a politician's voting record and project oversight leads to measurable improvements in their responsiveness to constituent needs.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Enhance Civic Engagement:</w:t>
      </w:r>
      <w:r>
        <w:t xml:space="preserve"> </w:t>
      </w:r>
      <w:r>
        <w:t xml:space="preserve">Determine if access to transparent political data increases citizen participation in local governance mechanisms, such as town halls and public consultations.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Reduce Corruption Perceptions:</w:t>
      </w:r>
      <w:r>
        <w:t xml:space="preserve"> </w:t>
      </w:r>
      <w:r>
        <w:t xml:space="preserve">Evaluate the impact of transparency interventions on public trust in local political institutions in Baghdad.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Identify Barriers:</w:t>
      </w:r>
      <w:r>
        <w:t xml:space="preserve"> </w:t>
      </w:r>
      <w:r>
        <w:t xml:space="preserve">Understand the socio-cultural and technological barriers that prevent effective citizen-politician interaction in the Iraqi context.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 study will employ a randomized controlled trial (RCT) design. We will select six districts in Baghdad with similar socio-economic profiles. Three districts will serve as the</w:t>
      </w:r>
      <w:r>
        <w:t xml:space="preserve"> </w:t>
      </w:r>
      <w:r>
        <w:rPr>
          <w:bCs/>
          <w:b/>
        </w:rPr>
        <w:t xml:space="preserve">Treatment Group</w:t>
      </w:r>
      <w:r>
        <w:t xml:space="preserve">, where the transparency intervention is implemented. The other three will serve as the</w:t>
      </w:r>
      <w:r>
        <w:t xml:space="preserve"> </w:t>
      </w:r>
      <w:r>
        <w:rPr>
          <w:bCs/>
          <w:b/>
        </w:rPr>
        <w:t xml:space="preserve">Control Group</w:t>
      </w:r>
      <w:r>
        <w:t xml:space="preserve">, where no additional transparency tools are introduced beyond existing norms.</w:t>
      </w:r>
    </w:p>
    <w:bookmarkEnd w:id="23"/>
    <w:bookmarkStart w:id="24" w:name="participants"/>
    <w:p>
      <w:pPr>
        <w:pStyle w:val="Heading3"/>
      </w:pPr>
      <w:r>
        <w:t xml:space="preserve">3.2 Participants</w:t>
      </w:r>
    </w:p>
    <w:p>
      <w:pPr>
        <w:pStyle w:val="FirstParagraph"/>
      </w:pPr>
      <w:r>
        <w:t xml:space="preserve">The participants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Politicians:</w:t>
      </w:r>
      <w:r>
        <w:t xml:space="preserve"> </w:t>
      </w:r>
      <w:r>
        <w:t xml:space="preserve">Local council members and municipal officials in the selected districts.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Citizens:</w:t>
      </w:r>
      <w:r>
        <w:t xml:space="preserve"> </w:t>
      </w:r>
      <w:r>
        <w:t xml:space="preserve">A representative sample of 1,500 residents across the six districts, stratified by age, gender, and neighborhood.</w:t>
      </w:r>
    </w:p>
    <w:bookmarkEnd w:id="24"/>
    <w:bookmarkStart w:id="25" w:name="intervention"/>
    <w:p>
      <w:pPr>
        <w:pStyle w:val="Heading3"/>
      </w:pPr>
      <w:r>
        <w:t xml:space="preserve">3.3 Intervention</w:t>
      </w:r>
    </w:p>
    <w:p>
      <w:pPr>
        <w:pStyle w:val="FirstParagraph"/>
      </w:pPr>
      <w:r>
        <w:t xml:space="preserve">In the Treatment Group, we will deploy a mobile application and SMS-based platform that provides citizens with:</w:t>
      </w:r>
    </w:p>
    <w:p>
      <w:pPr>
        <w:numPr>
          <w:ilvl w:val="0"/>
          <w:numId w:val="1003"/>
        </w:numPr>
        <w:pStyle w:val="Compact"/>
      </w:pPr>
      <w:r>
        <w:t xml:space="preserve">Real-time updates on local council meetings and voting records.</w:t>
      </w:r>
    </w:p>
    <w:p>
      <w:pPr>
        <w:numPr>
          <w:ilvl w:val="0"/>
          <w:numId w:val="1003"/>
        </w:numPr>
        <w:pStyle w:val="Compact"/>
      </w:pPr>
      <w:r>
        <w:t xml:space="preserve">Tracking of municipal project budgets and completion status.</w:t>
      </w:r>
    </w:p>
    <w:p>
      <w:pPr>
        <w:numPr>
          <w:ilvl w:val="0"/>
          <w:numId w:val="1003"/>
        </w:numPr>
        <w:pStyle w:val="Compact"/>
      </w:pPr>
      <w:r>
        <w:t xml:space="preserve">A direct, anonymous channel for citizens to report issues and request services from their local politician.</w:t>
      </w:r>
    </w:p>
    <w:p>
      <w:pPr>
        <w:pStyle w:val="FirstParagraph"/>
      </w:pPr>
      <w:r>
        <w:t xml:space="preserve">Politicians in the Treatment Group will receive weekly aggregated reports of constituent feedback and will be publicly rated based on their responsiveness.</w:t>
      </w:r>
    </w:p>
    <w:bookmarkEnd w:id="25"/>
    <w:bookmarkEnd w:id="26"/>
    <w:bookmarkStart w:id="30" w:name="data-collection-procedures"/>
    <w:p>
      <w:pPr>
        <w:pStyle w:val="Heading2"/>
      </w:pPr>
      <w:r>
        <w:t xml:space="preserve">4. Data Collection Procedures</w:t>
      </w:r>
    </w:p>
    <w:p>
      <w:pPr>
        <w:pStyle w:val="FirstParagraph"/>
      </w:pPr>
      <w:r>
        <w:t xml:space="preserve">Data will be collected at three stages: baseline, midline, and endline.</w:t>
      </w:r>
    </w:p>
    <w:bookmarkStart w:id="27" w:name="baseline-survey"/>
    <w:p>
      <w:pPr>
        <w:pStyle w:val="Heading3"/>
      </w:pPr>
      <w:r>
        <w:t xml:space="preserve">4.1 Baseline Survey</w:t>
      </w:r>
    </w:p>
    <w:p>
      <w:pPr>
        <w:pStyle w:val="FirstParagraph"/>
      </w:pPr>
      <w:r>
        <w:t xml:space="preserve">Conducted before the intervention, this survey will measure current levels of trust in politicians, awareness of political activities, and satisfaction with public services in Baghdad.</w:t>
      </w:r>
    </w:p>
    <w:bookmarkEnd w:id="27"/>
    <w:bookmarkStart w:id="28" w:name="midline-assessment"/>
    <w:p>
      <w:pPr>
        <w:pStyle w:val="Heading3"/>
      </w:pPr>
      <w:r>
        <w:t xml:space="preserve">4.2 Midline Assessment</w:t>
      </w:r>
    </w:p>
    <w:p>
      <w:pPr>
        <w:pStyle w:val="FirstParagraph"/>
      </w:pPr>
      <w:r>
        <w:t xml:space="preserve">Conducted after six months, this assessment will evaluate initial changes in citizen engagement and politician responsiveness. It will also gather qualitative feedback through focus group discussions.</w:t>
      </w:r>
    </w:p>
    <w:bookmarkEnd w:id="28"/>
    <w:bookmarkStart w:id="29" w:name="endline-survey"/>
    <w:p>
      <w:pPr>
        <w:pStyle w:val="Heading3"/>
      </w:pPr>
      <w:r>
        <w:t xml:space="preserve">4.3 Endline Survey</w:t>
      </w:r>
    </w:p>
    <w:p>
      <w:pPr>
        <w:pStyle w:val="FirstParagraph"/>
      </w:pPr>
      <w:r>
        <w:t xml:space="preserve">Conducted after 12 months, this final survey will measure the long-term impact of the intervention on political accountability and civic trust.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Indicator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Measurement Method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Trust in Local Politicians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 Questionnaire (Likert Scale)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Baseline, Midline, Endline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Politician Responsiveness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 to respond to citizen requests via platform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Civic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Attendance at town halls, platform usage stats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Perception of Corruption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 Questionnaire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Baseline, Endline</w:t>
            </w:r>
          </w:p>
        </w:tc>
      </w:tr>
    </w:tbl>
    <w:bookmarkEnd w:id="29"/>
    <w:bookmarkEnd w:id="30"/>
    <w:bookmarkStart w:id="31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Given the sensitive political environment in Iraq, ethical considerations are paramount.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will provide informed consent in Arabic, ensuring they understand the purpose of the study and their right to withdraw at any time.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Data collected from citizens will be anonymized to protect their identities, especially given potential risks associated with political criticism.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Neutrality:</w:t>
      </w:r>
      <w:r>
        <w:t xml:space="preserve"> </w:t>
      </w:r>
      <w:r>
        <w:t xml:space="preserve">The research team will maintain strict political neutrality, avoiding any endorsement or criticism of specific politicians or parties.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Safety:</w:t>
      </w:r>
      <w:r>
        <w:t xml:space="preserve"> </w:t>
      </w:r>
      <w:r>
        <w:t xml:space="preserve">Protocols will be in place to ensure the physical and digital safety of participants, including secure data storage and encrypted communication channels.</w:t>
      </w:r>
    </w:p>
    <w:bookmarkEnd w:id="31"/>
    <w:bookmarkStart w:id="32" w:name="risk-management"/>
    <w:p>
      <w:pPr>
        <w:pStyle w:val="Heading2"/>
      </w:pPr>
      <w:r>
        <w:t xml:space="preserve">6. Risk Management</w:t>
      </w:r>
    </w:p>
    <w:p>
      <w:pPr>
        <w:pStyle w:val="FirstParagraph"/>
      </w:pPr>
      <w:r>
        <w:t xml:space="preserve">Potential risks include political backlash, low citizen participation due to distrust, and technical failures. Mitigation strategies include:</w:t>
      </w:r>
    </w:p>
    <w:p>
      <w:pPr>
        <w:numPr>
          <w:ilvl w:val="0"/>
          <w:numId w:val="1005"/>
        </w:numPr>
        <w:pStyle w:val="Compact"/>
      </w:pPr>
      <w:r>
        <w:t xml:space="preserve">Engaging with local community leaders and civil society organizations to build trust.</w:t>
      </w:r>
    </w:p>
    <w:p>
      <w:pPr>
        <w:numPr>
          <w:ilvl w:val="0"/>
          <w:numId w:val="1005"/>
        </w:numPr>
        <w:pStyle w:val="Compact"/>
      </w:pPr>
      <w:r>
        <w:t xml:space="preserve">Ensuring the platform is user-friendly and accessible via basic mobile phones.</w:t>
      </w:r>
    </w:p>
    <w:p>
      <w:pPr>
        <w:numPr>
          <w:ilvl w:val="0"/>
          <w:numId w:val="1005"/>
        </w:numPr>
        <w:pStyle w:val="Compact"/>
      </w:pPr>
      <w:r>
        <w:t xml:space="preserve">Having a contingency plan for data backup and platform downtime.</w:t>
      </w:r>
    </w:p>
    <w:bookmarkEnd w:id="32"/>
    <w:bookmarkStart w:id="33" w:name="timeline"/>
    <w:p>
      <w:pPr>
        <w:pStyle w:val="Heading2"/>
      </w:pPr>
      <w:r>
        <w:t xml:space="preserve">7. Timeline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1-2:</w:t>
      </w:r>
      <w:r>
        <w:t xml:space="preserve"> </w:t>
      </w:r>
      <w:r>
        <w:t xml:space="preserve">Preparation, stakeholder engagement, and baseline survey.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3-8:</w:t>
      </w:r>
      <w:r>
        <w:t xml:space="preserve"> </w:t>
      </w:r>
      <w:r>
        <w:t xml:space="preserve">Implementation of the intervention in Treatment Group districts.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6:</w:t>
      </w:r>
      <w:r>
        <w:t xml:space="preserve"> </w:t>
      </w:r>
      <w:r>
        <w:t xml:space="preserve">Midline assessment.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9-12:</w:t>
      </w:r>
      <w:r>
        <w:t xml:space="preserve"> </w:t>
      </w:r>
      <w:r>
        <w:t xml:space="preserve">Continued monitoring and endline survey.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13-14:</w:t>
      </w:r>
      <w:r>
        <w:t xml:space="preserve"> </w:t>
      </w:r>
      <w:r>
        <w:t xml:space="preserve">Data analysis and reporting.</w:t>
      </w:r>
    </w:p>
    <w:bookmarkEnd w:id="33"/>
    <w:bookmarkStart w:id="34" w:name="expected-outcomes-and-impact"/>
    <w:p>
      <w:pPr>
        <w:pStyle w:val="Heading2"/>
      </w:pPr>
      <w:r>
        <w:t xml:space="preserve">8. Expected Outcomes and Impact</w:t>
      </w:r>
    </w:p>
    <w:p>
      <w:pPr>
        <w:pStyle w:val="FirstParagraph"/>
      </w:pPr>
      <w:r>
        <w:t xml:space="preserve">This experiment aims to provide empirical evidence on the effectiveness of digital transparency tools in enhancing political accountability in Baghdad. Successful outcomes could lead to:</w:t>
      </w:r>
    </w:p>
    <w:p>
      <w:pPr>
        <w:numPr>
          <w:ilvl w:val="0"/>
          <w:numId w:val="1007"/>
        </w:numPr>
        <w:pStyle w:val="Compact"/>
      </w:pPr>
      <w:r>
        <w:t xml:space="preserve">Increased pressure on politicians to perform and be responsive to constituents.</w:t>
      </w:r>
    </w:p>
    <w:p>
      <w:pPr>
        <w:numPr>
          <w:ilvl w:val="0"/>
          <w:numId w:val="1007"/>
        </w:numPr>
        <w:pStyle w:val="Compact"/>
      </w:pPr>
      <w:r>
        <w:t xml:space="preserve">Greater citizen engagement in local governance processes.</w:t>
      </w:r>
    </w:p>
    <w:p>
      <w:pPr>
        <w:numPr>
          <w:ilvl w:val="0"/>
          <w:numId w:val="1007"/>
        </w:numPr>
        <w:pStyle w:val="Compact"/>
      </w:pPr>
      <w:r>
        <w:t xml:space="preserve">Policy recommendations for scaling transparency initiatives across Iraq.</w:t>
      </w:r>
    </w:p>
    <w:p>
      <w:pPr>
        <w:numPr>
          <w:ilvl w:val="0"/>
          <w:numId w:val="1007"/>
        </w:numPr>
        <w:pStyle w:val="Compact"/>
      </w:pPr>
      <w:r>
        <w:t xml:space="preserve">Strengthened democratic practices and reduced corruption perceptions.</w:t>
      </w:r>
    </w:p>
    <w:p>
      <w:pPr>
        <w:pStyle w:val="FirstParagraph"/>
      </w:pPr>
      <w:r>
        <w:t xml:space="preserve">By focusing on the unique context of Baghdad, this protocol seeks to contribute valuable insights to the broader discourse on governance, accountability, and civic engagement in post-conflict societies.</w:t>
      </w:r>
    </w:p>
    <w:bookmarkEnd w:id="34"/>
    <w:p>
      <w:pPr>
        <w:pStyle w:val="BodyText"/>
      </w:pPr>
      <w:r>
        <w:t xml:space="preserve">© 2023 Baghdad Governance Research Initiative. All rights reserved.</w:t>
      </w:r>
    </w:p>
    <w:p>
      <w:pPr>
        <w:pStyle w:val="BodyText"/>
      </w:pPr>
      <w:r>
        <w:t xml:space="preserve">This document is for research purposes only and does not constitute political advice.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Political Accountability and Civic Engagement in Baghdad</dc:title>
  <dc:creator/>
  <dc:language>en</dc:language>
  <cp:keywords/>
  <dcterms:created xsi:type="dcterms:W3CDTF">2026-10-10T06:56:05Z</dcterms:created>
  <dcterms:modified xsi:type="dcterms:W3CDTF">2026-10-10T06:56:05Z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