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Communication</w:t>
      </w:r>
      <w:r>
        <w:t xml:space="preserve"> </w:t>
      </w:r>
      <w:r>
        <w:t xml:space="preserve">Dynamics</w:t>
      </w:r>
      <w:r>
        <w:t xml:space="preserve"> </w:t>
      </w:r>
      <w:r>
        <w:t xml:space="preserve">in</w:t>
      </w:r>
      <w:r>
        <w:t xml:space="preserve"> </w:t>
      </w:r>
      <w:r>
        <w:t xml:space="preserve">Tel</w:t>
      </w:r>
      <w:r>
        <w:t xml:space="preserve"> </w:t>
      </w:r>
      <w:r>
        <w:t xml:space="preserve">Aviv</w:t>
      </w:r>
    </w:p>
    <w:bookmarkStart w:id="20" w:name="X9aa51316cbdb8f2ada541e33e4ea3fb9022f083"/>
    <w:p>
      <w:pPr>
        <w:pStyle w:val="Heading1"/>
      </w:pPr>
      <w:r>
        <w:t xml:space="preserve">Experiment Protocol: Assessing Public Perception of Politician Responsiveness in Israel Tel Aviv</w:t>
      </w:r>
    </w:p>
    <w:p>
      <w:pPr>
        <w:pStyle w:val="FirstParagraph"/>
      </w:pPr>
      <w:r>
        <w:rPr>
          <w:bCs/>
          <w:b/>
        </w:rPr>
        <w:t xml:space="preserve">Protocol ID:</w:t>
      </w:r>
      <w:r>
        <w:t xml:space="preserve"> </w:t>
      </w:r>
      <w:r>
        <w:t xml:space="preserve">TA-POL-2024-001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Tel Aviv-Yafo, Israel</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[Institution Redacted]</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field study designed to evaluate the effectiveness of direct communication strategies employed by a Politician within the urban environment of Israel Tel Aviv. The study aims to understand how different modes of engagement—digital, in-person, and media-based—affect public trust, perceived competence, and voter intention among residents of Tel Aviv.</w:t>
      </w:r>
    </w:p>
    <w:p>
      <w:pPr>
        <w:pStyle w:val="BodyText"/>
      </w:pPr>
      <w:r>
        <w:t xml:space="preserve">Tel Aviv is a unique socio-political landscape characterized by high digital literacy, diverse demographic groups, and a vibrant civil society. Understanding how a Politician can effectively navigate this environment is crucial for improving democratic engagement and policy responsiveness. This protocol ensures that the experiment is conducted ethically, systematically, and with scientific rigor.</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impact of a Politician’s direct communication on public trust levels in Tel Aviv.</w:t>
      </w:r>
    </w:p>
    <w:p>
      <w:pPr>
        <w:numPr>
          <w:ilvl w:val="0"/>
          <w:numId w:val="1001"/>
        </w:numPr>
        <w:pStyle w:val="Compact"/>
      </w:pPr>
      <w:r>
        <w:t xml:space="preserve">To compare the effectiveness of different communication channels (social media, town halls, press releases) in shaping public opinion.</w:t>
      </w:r>
    </w:p>
    <w:p>
      <w:pPr>
        <w:numPr>
          <w:ilvl w:val="0"/>
          <w:numId w:val="1001"/>
        </w:numPr>
        <w:pStyle w:val="Compact"/>
      </w:pPr>
      <w:r>
        <w:t xml:space="preserve">To identify demographic factors (age, income, education) that influence how Tel Aviv residents perceive a Politician’s actions.</w:t>
      </w:r>
    </w:p>
    <w:p>
      <w:pPr>
        <w:numPr>
          <w:ilvl w:val="0"/>
          <w:numId w:val="1001"/>
        </w:numPr>
        <w:pStyle w:val="Compact"/>
      </w:pPr>
      <w:r>
        <w:t xml:space="preserve">To provide evidence-based recommendations for improving political communication strategies in urban Israeli contexts.</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mixed-methods approach, combining quantitative surveys with qualitative interviews. The experiment will be conducted over a period of 12 weeks in various neighborhoods across Tel Aviv, including Ramat Aviv, Florentin, and Jaffa, to ensure demographic diversity.</w:t>
      </w:r>
    </w:p>
    <w:bookmarkEnd w:id="23"/>
    <w:bookmarkStart w:id="24" w:name="participants"/>
    <w:p>
      <w:pPr>
        <w:pStyle w:val="Heading3"/>
      </w:pPr>
      <w:r>
        <w:t xml:space="preserve">3.2 Participants</w:t>
      </w:r>
    </w:p>
    <w:p>
      <w:pPr>
        <w:pStyle w:val="FirstParagraph"/>
      </w:pPr>
      <w:r>
        <w:t xml:space="preserve">The target population consists of registered voters aged 18 and above residing in Tel Aviv. A stratified random sampling method will be used to select 1,200 participants, ensuring representation across different age groups, socioeconomic statuses, and ethnic backgrounds. Inclusion criteria require participants to be fluent in Hebrew or Arabic, the primary languages of communication in the region.</w:t>
      </w:r>
    </w:p>
    <w:bookmarkEnd w:id="24"/>
    <w:bookmarkStart w:id="25" w:name="intervention"/>
    <w:p>
      <w:pPr>
        <w:pStyle w:val="Heading3"/>
      </w:pPr>
      <w:r>
        <w:t xml:space="preserve">3.3 Intervention</w:t>
      </w:r>
    </w:p>
    <w:p>
      <w:pPr>
        <w:pStyle w:val="FirstParagraph"/>
      </w:pPr>
      <w:r>
        <w:t xml:space="preserve">The core of the experiment involves exposing participants to different communication strategies from a Politician. The Politician will engage in three types of activities:</w:t>
      </w:r>
    </w:p>
    <w:p>
      <w:pPr>
        <w:numPr>
          <w:ilvl w:val="0"/>
          <w:numId w:val="1002"/>
        </w:numPr>
        <w:pStyle w:val="Compact"/>
      </w:pPr>
      <w:r>
        <w:rPr>
          <w:bCs/>
          <w:b/>
        </w:rPr>
        <w:t xml:space="preserve">Digital Engagement:</w:t>
      </w:r>
      <w:r>
        <w:t xml:space="preserve"> </w:t>
      </w:r>
      <w:r>
        <w:t xml:space="preserve">Targeted social media campaigns addressing local issues such as housing, transportation, and public safety.</w:t>
      </w:r>
    </w:p>
    <w:p>
      <w:pPr>
        <w:numPr>
          <w:ilvl w:val="0"/>
          <w:numId w:val="1002"/>
        </w:numPr>
        <w:pStyle w:val="Compact"/>
      </w:pPr>
      <w:r>
        <w:rPr>
          <w:bCs/>
          <w:b/>
        </w:rPr>
        <w:t xml:space="preserve">In-Person Events:</w:t>
      </w:r>
      <w:r>
        <w:t xml:space="preserve"> </w:t>
      </w:r>
      <w:r>
        <w:t xml:space="preserve">Town hall meetings and community forums held in public spaces across Tel Aviv.</w:t>
      </w:r>
    </w:p>
    <w:p>
      <w:pPr>
        <w:numPr>
          <w:ilvl w:val="0"/>
          <w:numId w:val="1002"/>
        </w:numPr>
        <w:pStyle w:val="Compact"/>
      </w:pPr>
      <w:r>
        <w:rPr>
          <w:bCs/>
          <w:b/>
        </w:rPr>
        <w:t xml:space="preserve">Media Appearances:</w:t>
      </w:r>
      <w:r>
        <w:t xml:space="preserve"> </w:t>
      </w:r>
      <w:r>
        <w:t xml:space="preserve">Interviews and op-eds in local newspapers and television channels.</w:t>
      </w:r>
    </w:p>
    <w:p>
      <w:pPr>
        <w:pStyle w:val="FirstParagraph"/>
      </w:pPr>
      <w:r>
        <w:t xml:space="preserve">Participants will be randomly assigned to one of three groups, each exposed to a different combination of these activities. A control group will receive no direct engagement from the Politician.</w:t>
      </w:r>
    </w:p>
    <w:bookmarkEnd w:id="25"/>
    <w:bookmarkStart w:id="26" w:name="data-collection"/>
    <w:p>
      <w:pPr>
        <w:pStyle w:val="Heading3"/>
      </w:pPr>
      <w:r>
        <w:t xml:space="preserve">3.4 Data Collection</w:t>
      </w:r>
    </w:p>
    <w:p>
      <w:pPr>
        <w:pStyle w:val="FirstParagraph"/>
      </w:pPr>
      <w:r>
        <w:t xml:space="preserve">Data will be collected through:</w:t>
      </w:r>
    </w:p>
    <w:p>
      <w:pPr>
        <w:numPr>
          <w:ilvl w:val="0"/>
          <w:numId w:val="1003"/>
        </w:numPr>
        <w:pStyle w:val="Compact"/>
      </w:pPr>
      <w:r>
        <w:rPr>
          <w:bCs/>
          <w:b/>
        </w:rPr>
        <w:t xml:space="preserve">Pre- and Post-Experiment Surveys:</w:t>
      </w:r>
      <w:r>
        <w:t xml:space="preserve"> </w:t>
      </w:r>
      <w:r>
        <w:t xml:space="preserve">Measuring changes in trust, satisfaction, and voter intention.</w:t>
      </w:r>
    </w:p>
    <w:p>
      <w:pPr>
        <w:numPr>
          <w:ilvl w:val="0"/>
          <w:numId w:val="1003"/>
        </w:numPr>
        <w:pStyle w:val="Compact"/>
      </w:pPr>
      <w:r>
        <w:rPr>
          <w:bCs/>
          <w:b/>
        </w:rPr>
        <w:t xml:space="preserve">Focus Groups:</w:t>
      </w:r>
      <w:r>
        <w:t xml:space="preserve"> </w:t>
      </w:r>
      <w:r>
        <w:t xml:space="preserve">Conducted with a subset of participants to gain deeper insights into their perceptions.</w:t>
      </w:r>
    </w:p>
    <w:p>
      <w:pPr>
        <w:numPr>
          <w:ilvl w:val="0"/>
          <w:numId w:val="1003"/>
        </w:numPr>
        <w:pStyle w:val="Compact"/>
      </w:pPr>
      <w:r>
        <w:rPr>
          <w:bCs/>
          <w:b/>
        </w:rPr>
        <w:t xml:space="preserve">Social Media Analytics:</w:t>
      </w:r>
      <w:r>
        <w:t xml:space="preserve"> </w:t>
      </w:r>
      <w:r>
        <w:t xml:space="preserve">Tracking engagement metrics (likes, shares, comments) related to the Politician’s digital campaigns.</w:t>
      </w:r>
    </w:p>
    <w:bookmarkEnd w:id="26"/>
    <w:bookmarkEnd w:id="27"/>
    <w:bookmarkStart w:id="28" w:name="ethical-considerations"/>
    <w:p>
      <w:pPr>
        <w:pStyle w:val="Heading2"/>
      </w:pPr>
      <w:r>
        <w:t xml:space="preserve">4. Ethical Considerations</w:t>
      </w:r>
    </w:p>
    <w:p>
      <w:pPr>
        <w:pStyle w:val="FirstParagraph"/>
      </w:pPr>
      <w:r>
        <w:t xml:space="preserve">This experiment adheres to the ethical guidelines set by the Israeli Ministry of Health and the Declaration of Helsinki. Key ethical considerations include:</w:t>
      </w:r>
    </w:p>
    <w:p>
      <w:pPr>
        <w:numPr>
          <w:ilvl w:val="0"/>
          <w:numId w:val="1004"/>
        </w:numPr>
        <w:pStyle w:val="Compact"/>
      </w:pPr>
      <w:r>
        <w:rPr>
          <w:bCs/>
          <w:b/>
        </w:rPr>
        <w:t xml:space="preserve">Informed Consent:</w:t>
      </w:r>
      <w:r>
        <w:t xml:space="preserve"> </w:t>
      </w:r>
      <w:r>
        <w:t xml:space="preserve">All participants will provide written consent after being fully informed about the study’s purpose, procedures, and their rights.</w:t>
      </w:r>
    </w:p>
    <w:p>
      <w:pPr>
        <w:numPr>
          <w:ilvl w:val="0"/>
          <w:numId w:val="1004"/>
        </w:numPr>
        <w:pStyle w:val="Compact"/>
      </w:pPr>
      <w:r>
        <w:rPr>
          <w:bCs/>
          <w:b/>
        </w:rPr>
        <w:t xml:space="preserve">Confidentiality:</w:t>
      </w:r>
      <w:r>
        <w:t xml:space="preserve"> </w:t>
      </w:r>
      <w:r>
        <w:t xml:space="preserve">Personal data will be anonymized and stored securely to protect participant privacy.</w:t>
      </w:r>
    </w:p>
    <w:p>
      <w:pPr>
        <w:numPr>
          <w:ilvl w:val="0"/>
          <w:numId w:val="1004"/>
        </w:numPr>
        <w:pStyle w:val="Compact"/>
      </w:pPr>
      <w:r>
        <w:rPr>
          <w:bCs/>
          <w:b/>
        </w:rPr>
        <w:t xml:space="preserve">Voluntary Participation:</w:t>
      </w:r>
      <w:r>
        <w:t xml:space="preserve"> </w:t>
      </w:r>
      <w:r>
        <w:t xml:space="preserve">Participants can withdraw from the study at any time without penalty.</w:t>
      </w:r>
    </w:p>
    <w:p>
      <w:pPr>
        <w:numPr>
          <w:ilvl w:val="0"/>
          <w:numId w:val="1004"/>
        </w:numPr>
        <w:pStyle w:val="Compact"/>
      </w:pPr>
      <w:r>
        <w:rPr>
          <w:bCs/>
          <w:b/>
        </w:rPr>
        <w:t xml:space="preserve">Neutrality:</w:t>
      </w:r>
      <w:r>
        <w:t xml:space="preserve"> </w:t>
      </w:r>
      <w:r>
        <w:t xml:space="preserve">The Politician involved will not use the experiment for partisan gain, and all communication will be non-partisan and focused on public service.</w:t>
      </w:r>
    </w:p>
    <w:bookmarkEnd w:id="28"/>
    <w:bookmarkStart w:id="29" w:name="data-analysis"/>
    <w:p>
      <w:pPr>
        <w:pStyle w:val="Heading2"/>
      </w:pPr>
      <w:r>
        <w:t xml:space="preserve">5. Data Analysis</w:t>
      </w:r>
    </w:p>
    <w:p>
      <w:pPr>
        <w:pStyle w:val="FirstParagraph"/>
      </w:pPr>
      <w:r>
        <w:t xml:space="preserve">Quantitative data will be analyzed using statistical software (e.g., SPSS) to identify significant differences between groups. Qualitative data from focus groups will be coded thematically to uncover patterns in participant responses. The analysis will focus on:</w:t>
      </w:r>
    </w:p>
    <w:p>
      <w:pPr>
        <w:numPr>
          <w:ilvl w:val="0"/>
          <w:numId w:val="1005"/>
        </w:numPr>
        <w:pStyle w:val="Compact"/>
      </w:pPr>
      <w:r>
        <w:t xml:space="preserve">Changes in trust and satisfaction scores before and after the intervention.</w:t>
      </w:r>
    </w:p>
    <w:p>
      <w:pPr>
        <w:numPr>
          <w:ilvl w:val="0"/>
          <w:numId w:val="1005"/>
        </w:numPr>
        <w:pStyle w:val="Compact"/>
      </w:pPr>
      <w:r>
        <w:t xml:space="preserve">Correlations between demographic factors and responses to the Politician’s communication.</w:t>
      </w:r>
    </w:p>
    <w:p>
      <w:pPr>
        <w:numPr>
          <w:ilvl w:val="0"/>
          <w:numId w:val="1005"/>
        </w:numPr>
        <w:pStyle w:val="Compact"/>
      </w:pPr>
      <w:r>
        <w:t xml:space="preserve">Effectiveness of different communication channels in influencing public opinion.</w:t>
      </w:r>
    </w:p>
    <w:bookmarkEnd w:id="29"/>
    <w:bookmarkStart w:id="30" w:name="expected-outcomes"/>
    <w:p>
      <w:pPr>
        <w:pStyle w:val="Heading2"/>
      </w:pPr>
      <w:r>
        <w:t xml:space="preserve">6. Expected Outcomes</w:t>
      </w:r>
    </w:p>
    <w:p>
      <w:pPr>
        <w:pStyle w:val="FirstParagraph"/>
      </w:pPr>
      <w:r>
        <w:t xml:space="preserve">This experiment is expected to provide valuable insights into how a Politician can effectively engage with the public in Israel Tel Aviv. Key anticipated outcomes include:</w:t>
      </w:r>
    </w:p>
    <w:p>
      <w:pPr>
        <w:numPr>
          <w:ilvl w:val="0"/>
          <w:numId w:val="1006"/>
        </w:numPr>
        <w:pStyle w:val="Compact"/>
      </w:pPr>
      <w:r>
        <w:t xml:space="preserve">Identification of the most effective communication strategies for building trust and engagement.</w:t>
      </w:r>
    </w:p>
    <w:p>
      <w:pPr>
        <w:numPr>
          <w:ilvl w:val="0"/>
          <w:numId w:val="1006"/>
        </w:numPr>
        <w:pStyle w:val="Compact"/>
      </w:pPr>
      <w:r>
        <w:t xml:space="preserve">Understanding of how demographic factors influence political perception in an urban Israeli context.</w:t>
      </w:r>
    </w:p>
    <w:p>
      <w:pPr>
        <w:numPr>
          <w:ilvl w:val="0"/>
          <w:numId w:val="1006"/>
        </w:numPr>
        <w:pStyle w:val="Compact"/>
      </w:pPr>
      <w:r>
        <w:t xml:space="preserve">Recommendations for improving political communication to enhance democratic participation.</w:t>
      </w:r>
    </w:p>
    <w:bookmarkEnd w:id="30"/>
    <w:bookmarkStart w:id="31"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Weeks 1-2</w:t>
            </w:r>
          </w:p>
        </w:tc>
        <w:tc>
          <w:tcPr/>
          <w:p>
            <w:pPr>
              <w:pStyle w:val="Compact"/>
              <w:jc w:val="left"/>
            </w:pPr>
            <w:r>
              <w:t xml:space="preserve">Recruitment, consent forms, baseline surveys</w:t>
            </w:r>
          </w:p>
        </w:tc>
      </w:tr>
      <w:tr>
        <w:tc>
          <w:tcPr/>
          <w:p>
            <w:pPr>
              <w:pStyle w:val="Compact"/>
              <w:jc w:val="left"/>
            </w:pPr>
            <w:r>
              <w:t xml:space="preserve">Intervention</w:t>
            </w:r>
          </w:p>
        </w:tc>
        <w:tc>
          <w:tcPr/>
          <w:p>
            <w:pPr>
              <w:pStyle w:val="Compact"/>
              <w:jc w:val="left"/>
            </w:pPr>
            <w:r>
              <w:t xml:space="preserve">Weeks 3-10</w:t>
            </w:r>
          </w:p>
        </w:tc>
        <w:tc>
          <w:tcPr/>
          <w:p>
            <w:pPr>
              <w:pStyle w:val="Compact"/>
              <w:jc w:val="left"/>
            </w:pPr>
            <w:r>
              <w:t xml:space="preserve">Politician’s communication activities</w:t>
            </w:r>
          </w:p>
        </w:tc>
      </w:tr>
      <w:tr>
        <w:tc>
          <w:tcPr/>
          <w:p>
            <w:pPr>
              <w:pStyle w:val="Compact"/>
              <w:jc w:val="left"/>
            </w:pPr>
            <w:r>
              <w:t xml:space="preserve">Data Collection</w:t>
            </w:r>
          </w:p>
        </w:tc>
        <w:tc>
          <w:tcPr/>
          <w:p>
            <w:pPr>
              <w:pStyle w:val="Compact"/>
              <w:jc w:val="left"/>
            </w:pPr>
            <w:r>
              <w:t xml:space="preserve">Weeks 11-12</w:t>
            </w:r>
          </w:p>
        </w:tc>
        <w:tc>
          <w:tcPr/>
          <w:p>
            <w:pPr>
              <w:pStyle w:val="Compact"/>
              <w:jc w:val="left"/>
            </w:pPr>
            <w:r>
              <w:t xml:space="preserve">Post-experiment surveys, focus groups</w:t>
            </w:r>
          </w:p>
        </w:tc>
      </w:tr>
      <w:tr>
        <w:tc>
          <w:tcPr/>
          <w:p>
            <w:pPr>
              <w:pStyle w:val="Compact"/>
              <w:jc w:val="left"/>
            </w:pPr>
            <w:r>
              <w:t xml:space="preserve">Analysis</w:t>
            </w:r>
          </w:p>
        </w:tc>
        <w:tc>
          <w:tcPr/>
          <w:p>
            <w:pPr>
              <w:pStyle w:val="Compact"/>
              <w:jc w:val="left"/>
            </w:pPr>
            <w:r>
              <w:t xml:space="preserve">Weeks 13-16</w:t>
            </w:r>
          </w:p>
        </w:tc>
        <w:tc>
          <w:tcPr/>
          <w:p>
            <w:pPr>
              <w:pStyle w:val="Compact"/>
              <w:jc w:val="left"/>
            </w:pPr>
            <w:r>
              <w:t xml:space="preserve">Data analysis, report writing</w:t>
            </w:r>
          </w:p>
        </w:tc>
      </w:tr>
    </w:tbl>
    <w:bookmarkEnd w:id="31"/>
    <w:bookmarkStart w:id="32" w:name="conclusion"/>
    <w:p>
      <w:pPr>
        <w:pStyle w:val="Heading2"/>
      </w:pPr>
      <w:r>
        <w:t xml:space="preserve">8. Conclusion</w:t>
      </w:r>
    </w:p>
    <w:p>
      <w:pPr>
        <w:pStyle w:val="FirstParagraph"/>
      </w:pPr>
      <w:r>
        <w:t xml:space="preserve">This Experiment Protocol provides a comprehensive framework for studying the impact of a Politician’s communication strategies on public perception in Israel Tel Aviv. By adhering to rigorous scientific and ethical standards, this study aims to contribute to the broader understanding of political engagement in urban environments and offer practical insights for improving democratic processes.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Communication Dynamics in Tel Aviv</dc:title>
  <dc:creator/>
  <dc:language>en</dc:language>
  <cp:keywords/>
  <dcterms:created xsi:type="dcterms:W3CDTF">2026-10-10T08:37:17Z</dcterms:created>
  <dcterms:modified xsi:type="dcterms:W3CDTF">2026-10-10T08:37:17Z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