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Abidjan</w:t>
      </w:r>
    </w:p>
    <w:bookmarkStart w:id="20" w:name="Xb53c778b7a9fd3a1ec774df9889455dcd30895b"/>
    <w:p>
      <w:pPr>
        <w:pStyle w:val="Heading1"/>
      </w:pPr>
      <w:r>
        <w:t xml:space="preserve">Experiment Protocol: Assessing the Impact of Digital Transparency on Politician Accountability in Ivory Coast Abidjan</w:t>
      </w:r>
    </w:p>
    <w:p>
      <w:pPr>
        <w:pStyle w:val="FirstParagraph"/>
      </w:pPr>
      <w:r>
        <w:rPr>
          <w:bCs/>
          <w:b/>
        </w:rPr>
        <w:t xml:space="preserve">Protocol ID:</w:t>
      </w:r>
      <w:r>
        <w:t xml:space="preserve"> </w:t>
      </w:r>
      <w:r>
        <w:t xml:space="preserve">IC-ABJ-POL-2024-01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Abidjan, Ivory Coast</w:t>
      </w:r>
    </w:p>
    <w:bookmarkEnd w:id="20"/>
    <w:bookmarkStart w:id="21" w:name="introduction-and-background"/>
    <w:p>
      <w:pPr>
        <w:pStyle w:val="Heading2"/>
      </w:pPr>
      <w:r>
        <w:t xml:space="preserve">1. Introduction and Background</w:t>
      </w:r>
    </w:p>
    <w:p>
      <w:pPr>
        <w:pStyle w:val="FirstParagraph"/>
      </w:pPr>
      <w:r>
        <w:t xml:space="preserve">The political landscape in Ivory Coast, particularly within its economic capital, Abidjan, is characterized by a dynamic interplay between traditional governance structures and rapidly evolving digital communication channels. As the population of Abidjan grows and becomes increasingly connected via mobile technology, the expectations placed upon the</w:t>
      </w:r>
      <w:r>
        <w:t xml:space="preserve"> </w:t>
      </w:r>
      <w:r>
        <w:rPr>
          <w:bCs/>
          <w:b/>
        </w:rPr>
        <w:t xml:space="preserve">Politician</w:t>
      </w:r>
      <w:r>
        <w:t xml:space="preserve"> </w:t>
      </w:r>
      <w:r>
        <w:t xml:space="preserve">have shifted. Citizens now demand higher levels of transparency, responsiveness, and accountability.</w:t>
      </w:r>
    </w:p>
    <w:p>
      <w:pPr>
        <w:pStyle w:val="BodyText"/>
      </w:pPr>
      <w:r>
        <w:t xml:space="preserve">This</w:t>
      </w:r>
      <w:r>
        <w:t xml:space="preserve"> </w:t>
      </w:r>
      <w:r>
        <w:rPr>
          <w:bCs/>
          <w:b/>
        </w:rPr>
        <w:t xml:space="preserve">Experiment Protocol</w:t>
      </w:r>
      <w:r>
        <w:t xml:space="preserve"> </w:t>
      </w:r>
      <w:r>
        <w:t xml:space="preserve">is designed to investigate the causal relationship between structured digital transparency initiatives implemented by a</w:t>
      </w:r>
      <w:r>
        <w:t xml:space="preserve"> </w:t>
      </w:r>
      <w:r>
        <w:rPr>
          <w:bCs/>
          <w:b/>
        </w:rPr>
        <w:t xml:space="preserve">Politician</w:t>
      </w:r>
      <w:r>
        <w:t xml:space="preserve"> </w:t>
      </w:r>
      <w:r>
        <w:t xml:space="preserve">and the resulting levels of civic engagement and trust among constituents in</w:t>
      </w:r>
      <w:r>
        <w:t xml:space="preserve"> </w:t>
      </w:r>
      <w:r>
        <w:rPr>
          <w:bCs/>
          <w:b/>
        </w:rPr>
        <w:t xml:space="preserve">Ivory Coast Abidjan</w:t>
      </w:r>
      <w:r>
        <w:t xml:space="preserve">. By isolating specific communication variables, this study aims to provide empirical data on how modern political figures can effectively bridge the gap between governance and the governed in a West African urban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real-time budgetary disclosure by a</w:t>
      </w:r>
      <w:r>
        <w:t xml:space="preserve"> </w:t>
      </w:r>
      <w:r>
        <w:rPr>
          <w:bCs/>
          <w:b/>
        </w:rPr>
        <w:t xml:space="preserve">Politician</w:t>
      </w:r>
      <w:r>
        <w:t xml:space="preserve"> </w:t>
      </w:r>
      <w:r>
        <w:t xml:space="preserve">on voter trust in Abidjan.</w:t>
      </w:r>
    </w:p>
    <w:p>
      <w:pPr>
        <w:numPr>
          <w:ilvl w:val="0"/>
          <w:numId w:val="1001"/>
        </w:numPr>
        <w:pStyle w:val="Compact"/>
      </w:pPr>
      <w:r>
        <w:t xml:space="preserve">To analyze the correlation between responsive digital communication (via WhatsApp and social media) and constituent satisfaction.</w:t>
      </w:r>
    </w:p>
    <w:p>
      <w:pPr>
        <w:numPr>
          <w:ilvl w:val="0"/>
          <w:numId w:val="1001"/>
        </w:numPr>
        <w:pStyle w:val="Compact"/>
      </w:pPr>
      <w:r>
        <w:t xml:space="preserve">To determine if increased transparency leads to higher participation in local community meetings in</w:t>
      </w:r>
      <w:r>
        <w:t xml:space="preserve"> </w:t>
      </w:r>
      <w:r>
        <w:rPr>
          <w:bCs/>
          <w:b/>
        </w:rPr>
        <w:t xml:space="preserve">Ivory Coast Abidjan</w:t>
      </w:r>
      <w:r>
        <w:t xml:space="preserve">.</w:t>
      </w:r>
    </w:p>
    <w:p>
      <w:pPr>
        <w:numPr>
          <w:ilvl w:val="0"/>
          <w:numId w:val="1001"/>
        </w:numPr>
        <w:pStyle w:val="Compact"/>
      </w:pPr>
      <w:r>
        <w:t xml:space="preserve">To identify cultural and linguistic nuances in Abidjan that affect how political messages are received.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We will select four distinct communes within Abidjan. Two communes will serve as the "Treatment Group," where the participating</w:t>
      </w:r>
      <w:r>
        <w:t xml:space="preserve"> </w:t>
      </w:r>
      <w:r>
        <w:rPr>
          <w:bCs/>
          <w:b/>
        </w:rPr>
        <w:t xml:space="preserve">Politician</w:t>
      </w:r>
      <w:r>
        <w:t xml:space="preserve"> </w:t>
      </w:r>
      <w:r>
        <w:t xml:space="preserve">will implement a rigorous transparency protocol. The other two communes will serve as the "Control Group," where the</w:t>
      </w:r>
      <w:r>
        <w:t xml:space="preserve"> </w:t>
      </w:r>
      <w:r>
        <w:rPr>
          <w:bCs/>
          <w:b/>
        </w:rPr>
        <w:t xml:space="preserve">Politician</w:t>
      </w:r>
      <w:r>
        <w:t xml:space="preserve"> </w:t>
      </w:r>
      <w:r>
        <w:t xml:space="preserve">will maintain standard communication practices.</w:t>
      </w:r>
    </w:p>
    <w:bookmarkEnd w:id="23"/>
    <w:bookmarkStart w:id="24" w:name="participants"/>
    <w:p>
      <w:pPr>
        <w:pStyle w:val="Heading3"/>
      </w:pPr>
      <w:r>
        <w:t xml:space="preserve">3.2 Participants</w:t>
      </w:r>
    </w:p>
    <w:p>
      <w:pPr>
        <w:pStyle w:val="FirstParagraph"/>
      </w:pPr>
      <w:r>
        <w:t xml:space="preserve">The target population consists of registered voters aged 18 to 65 residing in the selected communes of</w:t>
      </w:r>
      <w:r>
        <w:t xml:space="preserve"> </w:t>
      </w:r>
      <w:r>
        <w:rPr>
          <w:bCs/>
          <w:b/>
        </w:rPr>
        <w:t xml:space="preserve">Ivory Coast Abidjan</w:t>
      </w:r>
      <w:r>
        <w:t xml:space="preserve">. A sample size of 2,000 participants will be recruited, ensuring a balanced representation of gender, socioeconomic status, and age groups. Special attention will be paid to including residents from both affluent neighborhoods (such as Cocody) and densely populated informal settlements (such as Yopougon) to ensure the findings are representative of the diverse Abidjanese electorate.</w:t>
      </w:r>
    </w:p>
    <w:bookmarkEnd w:id="24"/>
    <w:bookmarkStart w:id="25" w:name="intervention-protocol"/>
    <w:p>
      <w:pPr>
        <w:pStyle w:val="Heading3"/>
      </w:pPr>
      <w:r>
        <w:t xml:space="preserve">3.3 Intervention Protocol</w:t>
      </w:r>
    </w:p>
    <w:p>
      <w:pPr>
        <w:pStyle w:val="FirstParagraph"/>
      </w:pPr>
      <w:r>
        <w:t xml:space="preserve">For the Treatment Group, the</w:t>
      </w:r>
      <w:r>
        <w:t xml:space="preserve"> </w:t>
      </w:r>
      <w:r>
        <w:rPr>
          <w:bCs/>
          <w:b/>
        </w:rPr>
        <w:t xml:space="preserve">Politician</w:t>
      </w:r>
      <w:r>
        <w:t xml:space="preserve"> </w:t>
      </w:r>
      <w:r>
        <w:t xml:space="preserve">will adhere to the following strict protocol for a period of six months:</w:t>
      </w:r>
    </w:p>
    <w:p>
      <w:pPr>
        <w:numPr>
          <w:ilvl w:val="0"/>
          <w:numId w:val="1002"/>
        </w:numPr>
        <w:pStyle w:val="Compact"/>
      </w:pPr>
      <w:r>
        <w:rPr>
          <w:bCs/>
          <w:b/>
        </w:rPr>
        <w:t xml:space="preserve">Weekly Digital Reports:</w:t>
      </w:r>
      <w:r>
        <w:t xml:space="preserve"> </w:t>
      </w:r>
      <w:r>
        <w:t xml:space="preserve">Publication of a simplified, visual summary of local project expenditures and progress.</w:t>
      </w:r>
    </w:p>
    <w:p>
      <w:pPr>
        <w:numPr>
          <w:ilvl w:val="0"/>
          <w:numId w:val="1002"/>
        </w:numPr>
        <w:pStyle w:val="Compact"/>
      </w:pPr>
      <w:r>
        <w:rPr>
          <w:bCs/>
          <w:b/>
        </w:rPr>
        <w:t xml:space="preserve">Live Q&amp;A Sessions:</w:t>
      </w:r>
      <w:r>
        <w:t xml:space="preserve"> </w:t>
      </w:r>
      <w:r>
        <w:t xml:space="preserve">Bi-weekly live video streams on Facebook and YouTube, allowing constituents in Abidjan to ask direct questions.</w:t>
      </w:r>
    </w:p>
    <w:p>
      <w:pPr>
        <w:numPr>
          <w:ilvl w:val="0"/>
          <w:numId w:val="1002"/>
        </w:numPr>
        <w:pStyle w:val="Compact"/>
      </w:pPr>
      <w:r>
        <w:rPr>
          <w:bCs/>
          <w:b/>
        </w:rPr>
        <w:t xml:space="preserve">Rapid Response Team:</w:t>
      </w:r>
      <w:r>
        <w:t xml:space="preserve"> </w:t>
      </w:r>
      <w:r>
        <w:t xml:space="preserve">A dedicated team to respond to constituent inquiries via WhatsApp within 24 hours.</w:t>
      </w:r>
    </w:p>
    <w:p>
      <w:pPr>
        <w:numPr>
          <w:ilvl w:val="0"/>
          <w:numId w:val="1002"/>
        </w:numPr>
        <w:pStyle w:val="Compact"/>
      </w:pPr>
      <w:r>
        <w:rPr>
          <w:bCs/>
          <w:b/>
        </w:rPr>
        <w:t xml:space="preserve">Open Town Halls:</w:t>
      </w:r>
      <w:r>
        <w:t xml:space="preserve"> </w:t>
      </w:r>
      <w:r>
        <w:t xml:space="preserve">Monthly physical meetings in accessible locations within the commune.</w:t>
      </w:r>
    </w:p>
    <w:p>
      <w:pPr>
        <w:pStyle w:val="FirstParagraph"/>
      </w:pPr>
      <w:r>
        <w:t xml:space="preserve">The Control Group will receive only the standard, periodic press releases and traditional campaign-style communication from the</w:t>
      </w:r>
      <w:r>
        <w:t xml:space="preserve"> </w:t>
      </w:r>
      <w:r>
        <w:rPr>
          <w:bCs/>
          <w:b/>
        </w:rPr>
        <w:t xml:space="preserve">Politician</w:t>
      </w:r>
      <w:r>
        <w:t xml:space="preserve">.</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(Week 0), Mid-point (Week 12), and End-line (Week 24).</w:t>
      </w:r>
    </w:p>
    <w:p>
      <w:pPr>
        <w:numPr>
          <w:ilvl w:val="0"/>
          <w:numId w:val="1003"/>
        </w:numPr>
        <w:pStyle w:val="Compact"/>
      </w:pPr>
      <w:r>
        <w:rPr>
          <w:bCs/>
          <w:b/>
        </w:rPr>
        <w:t xml:space="preserve">Surveys:</w:t>
      </w:r>
      <w:r>
        <w:t xml:space="preserve"> </w:t>
      </w:r>
      <w:r>
        <w:t xml:space="preserve">Structured questionnaires administered via mobile devices to measure trust, satisfaction, and perceived accountability.</w:t>
      </w:r>
    </w:p>
    <w:p>
      <w:pPr>
        <w:numPr>
          <w:ilvl w:val="0"/>
          <w:numId w:val="1003"/>
        </w:numPr>
        <w:pStyle w:val="Compact"/>
      </w:pPr>
      <w:r>
        <w:rPr>
          <w:bCs/>
          <w:b/>
        </w:rPr>
        <w:t xml:space="preserve">Digital Analytics:</w:t>
      </w:r>
      <w:r>
        <w:t xml:space="preserve"> </w:t>
      </w:r>
      <w:r>
        <w:t xml:space="preserve">Tracking engagement metrics (likes, shares, comments, response times) on the</w:t>
      </w:r>
      <w:r>
        <w:t xml:space="preserve"> </w:t>
      </w:r>
      <w:r>
        <w:rPr>
          <w:bCs/>
          <w:b/>
        </w:rPr>
        <w:t xml:space="preserve">Politician</w:t>
      </w:r>
      <w:r>
        <w:t xml:space="preserve">'s official channels.</w:t>
      </w:r>
    </w:p>
    <w:p>
      <w:pPr>
        <w:numPr>
          <w:ilvl w:val="0"/>
          <w:numId w:val="1003"/>
        </w:numPr>
        <w:pStyle w:val="Compact"/>
      </w:pPr>
      <w:r>
        <w:rPr>
          <w:bCs/>
          <w:b/>
        </w:rPr>
        <w:t xml:space="preserve">Focus Groups:</w:t>
      </w:r>
      <w:r>
        <w:t xml:space="preserve"> </w:t>
      </w:r>
      <w:r>
        <w:t xml:space="preserve">Qualitative sessions with small groups of citizens in Abidjan to discuss their perceptions of the</w:t>
      </w:r>
      <w:r>
        <w:t xml:space="preserve"> </w:t>
      </w:r>
      <w:r>
        <w:rPr>
          <w:bCs/>
          <w:b/>
        </w:rPr>
        <w:t xml:space="preserve">Politician</w:t>
      </w:r>
      <w:r>
        <w:t xml:space="preserve">'s performance.</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international ethical standards for social science research.</w:t>
      </w:r>
    </w:p>
    <w:p>
      <w:pPr>
        <w:numPr>
          <w:ilvl w:val="0"/>
          <w:numId w:val="1004"/>
        </w:numPr>
        <w:pStyle w:val="Compact"/>
      </w:pPr>
      <w:r>
        <w:rPr>
          <w:bCs/>
          <w:b/>
        </w:rPr>
        <w:t xml:space="preserve">Informed Consent:</w:t>
      </w:r>
      <w:r>
        <w:t xml:space="preserve"> </w:t>
      </w:r>
      <w:r>
        <w:t xml:space="preserve">All participants in Ivory Coast Abidjan will provide informed consent, clearly understanding the nature of the study.</w:t>
      </w:r>
    </w:p>
    <w:p>
      <w:pPr>
        <w:numPr>
          <w:ilvl w:val="0"/>
          <w:numId w:val="1004"/>
        </w:numPr>
        <w:pStyle w:val="Compact"/>
      </w:pPr>
      <w:r>
        <w:rPr>
          <w:bCs/>
          <w:b/>
        </w:rPr>
        <w:t xml:space="preserve">Neutrality:</w:t>
      </w:r>
      <w:r>
        <w:t xml:space="preserve"> </w:t>
      </w:r>
      <w:r>
        <w:t xml:space="preserve">The research team will remain politically neutral. The study focuses on the behavior of the</w:t>
      </w:r>
      <w:r>
        <w:t xml:space="preserve"> </w:t>
      </w:r>
      <w:r>
        <w:rPr>
          <w:bCs/>
          <w:b/>
        </w:rPr>
        <w:t xml:space="preserve">Politician</w:t>
      </w:r>
      <w:r>
        <w:t xml:space="preserve"> </w:t>
      </w:r>
      <w:r>
        <w:t xml:space="preserve">as a variable, not on endorsing any political party or ideology.</w:t>
      </w:r>
    </w:p>
    <w:p>
      <w:pPr>
        <w:numPr>
          <w:ilvl w:val="0"/>
          <w:numId w:val="1004"/>
        </w:numPr>
        <w:pStyle w:val="Compact"/>
      </w:pPr>
      <w:r>
        <w:rPr>
          <w:bCs/>
          <w:b/>
        </w:rPr>
        <w:t xml:space="preserve">Privacy:</w:t>
      </w:r>
      <w:r>
        <w:t xml:space="preserve"> </w:t>
      </w:r>
      <w:r>
        <w:t xml:space="preserve">All personal data collected from citizens will be anonymized and stored securely.</w:t>
      </w:r>
    </w:p>
    <w:p>
      <w:pPr>
        <w:numPr>
          <w:ilvl w:val="0"/>
          <w:numId w:val="1004"/>
        </w:numPr>
        <w:pStyle w:val="Compact"/>
      </w:pPr>
      <w:r>
        <w:rPr>
          <w:bCs/>
          <w:b/>
        </w:rPr>
        <w:t xml:space="preserve">Non-Interference:</w:t>
      </w:r>
      <w:r>
        <w:t xml:space="preserve"> </w:t>
      </w:r>
      <w:r>
        <w:t xml:space="preserve">The experiment will not interfere with the democratic process or electoral outcomes in Abidjan.</w:t>
      </w:r>
    </w:p>
    <w:bookmarkEnd w:id="28"/>
    <w:bookmarkStart w:id="29" w:name="risk-management"/>
    <w:p>
      <w:pPr>
        <w:pStyle w:val="Heading2"/>
      </w:pPr>
      <w:r>
        <w:t xml:space="preserve">6. Risk Management</w:t>
      </w:r>
    </w:p>
    <w:p>
      <w:pPr>
        <w:pStyle w:val="FirstParagraph"/>
      </w:pPr>
      <w:r>
        <w:t xml:space="preserve">Potential risks include political backlash against the</w:t>
      </w:r>
      <w:r>
        <w:t xml:space="preserve"> </w:t>
      </w:r>
      <w:r>
        <w:rPr>
          <w:bCs/>
          <w:b/>
        </w:rPr>
        <w:t xml:space="preserve">Politician</w:t>
      </w:r>
      <w:r>
        <w:t xml:space="preserve"> </w:t>
      </w:r>
      <w:r>
        <w:t xml:space="preserve">for perceived favoritism or transparency, and potential manipulation of social media data. Mitigation strategies include:</w:t>
      </w:r>
    </w:p>
    <w:p>
      <w:pPr>
        <w:numPr>
          <w:ilvl w:val="0"/>
          <w:numId w:val="1005"/>
        </w:numPr>
        <w:pStyle w:val="Compact"/>
      </w:pPr>
      <w:r>
        <w:t xml:space="preserve">Ensuring the transparency protocol is applied uniformly across the Treatment Group.</w:t>
      </w:r>
    </w:p>
    <w:p>
      <w:pPr>
        <w:numPr>
          <w:ilvl w:val="0"/>
          <w:numId w:val="1005"/>
        </w:numPr>
        <w:pStyle w:val="Compact"/>
      </w:pPr>
      <w:r>
        <w:t xml:space="preserve">Using third-party auditors to verify digital engagement metrics.</w:t>
      </w:r>
    </w:p>
    <w:p>
      <w:pPr>
        <w:numPr>
          <w:ilvl w:val="0"/>
          <w:numId w:val="1005"/>
        </w:numPr>
        <w:pStyle w:val="Compact"/>
      </w:pPr>
      <w:r>
        <w:t xml:space="preserve">Maintaining close communication with local authorities in Abidjan to ensure compliance with national regulations.</w:t>
      </w:r>
    </w:p>
    <w:bookmarkEnd w:id="29"/>
    <w:bookmarkStart w:id="30" w:name="expected-outcomes-and-impact"/>
    <w:p>
      <w:pPr>
        <w:pStyle w:val="Heading2"/>
      </w:pPr>
      <w:r>
        <w:t xml:space="preserve">7. Expected Outcomes and Impact</w:t>
      </w:r>
    </w:p>
    <w:p>
      <w:pPr>
        <w:pStyle w:val="FirstParagraph"/>
      </w:pPr>
      <w:r>
        <w:t xml:space="preserve">We anticipate that this</w:t>
      </w:r>
      <w:r>
        <w:t xml:space="preserve"> </w:t>
      </w:r>
      <w:r>
        <w:rPr>
          <w:bCs/>
          <w:b/>
        </w:rPr>
        <w:t xml:space="preserve">Experiment Protocol</w:t>
      </w:r>
      <w:r>
        <w:t xml:space="preserve"> </w:t>
      </w:r>
      <w:r>
        <w:t xml:space="preserve">will demonstrate a positive correlation between digital transparency and civic trust. The findings will provide actionable insights for the</w:t>
      </w:r>
      <w:r>
        <w:t xml:space="preserve"> </w:t>
      </w:r>
      <w:r>
        <w:rPr>
          <w:bCs/>
          <w:b/>
        </w:rPr>
        <w:t xml:space="preserve">Politician</w:t>
      </w:r>
      <w:r>
        <w:t xml:space="preserve"> </w:t>
      </w:r>
      <w:r>
        <w:t xml:space="preserve">and other public officials in</w:t>
      </w:r>
      <w:r>
        <w:t xml:space="preserve"> </w:t>
      </w:r>
      <w:r>
        <w:rPr>
          <w:bCs/>
          <w:b/>
        </w:rPr>
        <w:t xml:space="preserve">Ivory Coast Abidjan</w:t>
      </w:r>
      <w:r>
        <w:t xml:space="preserve"> </w:t>
      </w:r>
      <w:r>
        <w:t xml:space="preserve">on how to leverage technology to improve governance. Ultimately, this research aims to contribute to the broader discourse on democratic accountability in West Africa, offering a replicable model for enhancing the relationship between political leaders and their constituents.</w:t>
      </w:r>
    </w:p>
    <w:bookmarkEnd w:id="30"/>
    <w:bookmarkStart w:id="31" w:name="conclusion"/>
    <w:p>
      <w:pPr>
        <w:pStyle w:val="Heading2"/>
      </w:pPr>
      <w:r>
        <w:t xml:space="preserve">8. Conclusion</w:t>
      </w:r>
    </w:p>
    <w:p>
      <w:pPr>
        <w:pStyle w:val="FirstParagraph"/>
      </w:pPr>
      <w:r>
        <w:t xml:space="preserve">By rigorously testing the impact of transparency on political accountability, this protocol seeks to empower citizens in Abidjan and provide a framework for more responsive governance. The role of the</w:t>
      </w:r>
      <w:r>
        <w:t xml:space="preserve"> </w:t>
      </w:r>
      <w:r>
        <w:rPr>
          <w:bCs/>
          <w:b/>
        </w:rPr>
        <w:t xml:space="preserve">Politician</w:t>
      </w:r>
      <w:r>
        <w:t xml:space="preserve"> </w:t>
      </w:r>
      <w:r>
        <w:t xml:space="preserve">in the digital age is evolving, and this experiment will help define best practices for engagement in the unique context of</w:t>
      </w:r>
      <w:r>
        <w:t xml:space="preserve"> </w:t>
      </w:r>
      <w:r>
        <w:rPr>
          <w:bCs/>
          <w:b/>
        </w:rPr>
        <w:t xml:space="preserve">Ivory Coast Abidjan</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and Civic Engagement in Abidjan</dc:title>
  <dc:creator/>
  <dc:language>en</dc:language>
  <cp:keywords/>
  <dcterms:created xsi:type="dcterms:W3CDTF">2026-10-10T06:56:00Z</dcterms:created>
  <dcterms:modified xsi:type="dcterms:W3CDTF">2026-10-10T06:56:00Z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