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Civic</w:t>
      </w:r>
      <w:r>
        <w:t xml:space="preserve"> </w:t>
      </w:r>
      <w:r>
        <w:t xml:space="preserve">Engagement</w:t>
      </w:r>
      <w:r>
        <w:t xml:space="preserve"> </w:t>
      </w:r>
      <w:r>
        <w:t xml:space="preserve">and</w:t>
      </w:r>
      <w:r>
        <w:t xml:space="preserve"> </w:t>
      </w:r>
      <w:r>
        <w:t xml:space="preserve">Policy</w:t>
      </w:r>
      <w:r>
        <w:t xml:space="preserve"> </w:t>
      </w:r>
      <w:r>
        <w:t xml:space="preserve">Responsiveness</w:t>
      </w:r>
      <w:r>
        <w:t xml:space="preserve"> </w:t>
      </w:r>
      <w:r>
        <w:t xml:space="preserve">in</w:t>
      </w:r>
      <w:r>
        <w:t xml:space="preserve"> </w:t>
      </w:r>
      <w:r>
        <w:t xml:space="preserve">Japan</w:t>
      </w:r>
      <w:r>
        <w:t xml:space="preserve"> </w:t>
      </w:r>
      <w:r>
        <w:t xml:space="preserve">Osaka</w:t>
      </w:r>
    </w:p>
    <w:bookmarkStart w:id="33" w:name="X9ba25c7cf060bfa48a7297f81e570f0ca78e062"/>
    <w:p>
      <w:pPr>
        <w:pStyle w:val="Heading1"/>
      </w:pPr>
      <w:r>
        <w:t xml:space="preserve">Experiment Protocol: Civic Engagement and Policy Responsiveness in Japan Osaka</w:t>
      </w:r>
    </w:p>
    <w:p>
      <w:pPr>
        <w:pStyle w:val="FirstParagraph"/>
      </w:pPr>
      <w:r>
        <w:rPr>
          <w:bCs/>
          <w:b/>
        </w:rPr>
        <w:t xml:space="preserve">Protocol ID:</w:t>
      </w:r>
      <w:r>
        <w:t xml:space="preserve"> </w:t>
      </w:r>
      <w:r>
        <w:t xml:space="preserve">JPO-EXP-2024-001</w:t>
      </w:r>
    </w:p>
    <w:p>
      <w:pPr>
        <w:pStyle w:val="BodyText"/>
      </w:pPr>
      <w:r>
        <w:rPr>
          <w:bCs/>
          <w:b/>
        </w:rPr>
        <w:t xml:space="preserve">Location:</w:t>
      </w:r>
      <w:r>
        <w:t xml:space="preserve"> </w:t>
      </w:r>
      <w:r>
        <w:t xml:space="preserve">Osaka Prefecture, Japan (Focus: Osaka City)</w:t>
      </w:r>
    </w:p>
    <w:p>
      <w:pPr>
        <w:pStyle w:val="BodyText"/>
      </w:pPr>
      <w:r>
        <w:rPr>
          <w:bCs/>
          <w:b/>
        </w:rPr>
        <w:t xml:space="preserve">Subject:</w:t>
      </w:r>
      <w:r>
        <w:t xml:space="preserve"> </w:t>
      </w:r>
      <w:r>
        <w:t xml:space="preserve">Politician Responsiveness to Digital Civic Feedback</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political landscape in Japan is undergoing a significant transformation driven by digitalization and a growing demand for transparency among younger demographics. Osaka, as a major economic and cultural hub in Japan, presents a unique environment for studying the interaction between constituents and their elected representatives. This Experiment Protocol outlines a rigorous methodology to evaluate the responsiveness of local Politicians in Japan Osaka to structured civic inquiries regarding urban development and public welfare.</w:t>
      </w:r>
    </w:p>
    <w:p>
      <w:pPr>
        <w:pStyle w:val="BodyText"/>
      </w:pPr>
      <w:r>
        <w:t xml:space="preserve">The primary objective is to quantify the efficiency, tone, and substantive quality of responses provided by Politicians when faced with standardized policy questions. By isolating variables such as the medium of communication and the specificity of the query, this study aims to provide empirical data on the current state of political accountability in the region.</w:t>
      </w:r>
    </w:p>
    <w:bookmarkEnd w:id="20"/>
    <w:bookmarkStart w:id="21" w:name="objectives"/>
    <w:p>
      <w:pPr>
        <w:pStyle w:val="Heading2"/>
      </w:pPr>
      <w:r>
        <w:t xml:space="preserve">2. Objectives</w:t>
      </w:r>
    </w:p>
    <w:p>
      <w:pPr>
        <w:pStyle w:val="FirstParagraph"/>
      </w:pPr>
      <w:r>
        <w:t xml:space="preserve">This experiment seeks to achieve the following specific goals:</w:t>
      </w:r>
    </w:p>
    <w:p>
      <w:pPr>
        <w:numPr>
          <w:ilvl w:val="0"/>
          <w:numId w:val="1001"/>
        </w:numPr>
        <w:pStyle w:val="Compact"/>
      </w:pPr>
      <w:r>
        <w:t xml:space="preserve">To measure the average response time of Politicians in Japan Osaka to formal constituent inquiries.</w:t>
      </w:r>
    </w:p>
    <w:p>
      <w:pPr>
        <w:numPr>
          <w:ilvl w:val="0"/>
          <w:numId w:val="1001"/>
        </w:numPr>
        <w:pStyle w:val="Compact"/>
      </w:pPr>
      <w:r>
        <w:t xml:space="preserve">To analyze the semantic content of responses to determine if they address the core policy issues or rely on generic boilerplate text.</w:t>
      </w:r>
    </w:p>
    <w:p>
      <w:pPr>
        <w:numPr>
          <w:ilvl w:val="0"/>
          <w:numId w:val="1001"/>
        </w:numPr>
        <w:pStyle w:val="Compact"/>
      </w:pPr>
      <w:r>
        <w:t xml:space="preserve">To compare responsiveness across different political affiliations and seniority levels within the Osaka Prefectural Assembly and Osaka City Council.</w:t>
      </w:r>
    </w:p>
    <w:p>
      <w:pPr>
        <w:numPr>
          <w:ilvl w:val="0"/>
          <w:numId w:val="1001"/>
        </w:numPr>
        <w:pStyle w:val="Compact"/>
      </w:pPr>
      <w:r>
        <w:t xml:space="preserve">To assess the impact of digital communication channels (email vs. official web forms) on the likelihood of receiving a substantive reply.</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randomized controlled trial (RCT) design. We will simulate constituent inquiries sent to a stratified random sample of Politicians operating in Japan Osaka. The inquiries will be standardized to ensure comparability while varying specific parameters to test responsiveness.</w:t>
      </w:r>
    </w:p>
    <w:bookmarkEnd w:id="22"/>
    <w:bookmarkStart w:id="23" w:name="participants"/>
    <w:p>
      <w:pPr>
        <w:pStyle w:val="Heading3"/>
      </w:pPr>
      <w:r>
        <w:t xml:space="preserve">3.2 Participants</w:t>
      </w:r>
    </w:p>
    <w:p>
      <w:pPr>
        <w:pStyle w:val="FirstParagraph"/>
      </w:pPr>
      <w:r>
        <w:t xml:space="preserve">The target population includes all currently serving members of the Osaka City Council and the Osaka Prefectural Assembly. A sample size of 100 Politicians will be selected using stratified random sampling to ensure proportional representation of major political parties and independent candidates.</w:t>
      </w:r>
    </w:p>
    <w:bookmarkEnd w:id="23"/>
    <w:bookmarkStart w:id="24" w:name="intervention"/>
    <w:p>
      <w:pPr>
        <w:pStyle w:val="Heading3"/>
      </w:pPr>
      <w:r>
        <w:t xml:space="preserve">3.3 Intervention</w:t>
      </w:r>
    </w:p>
    <w:p>
      <w:pPr>
        <w:pStyle w:val="FirstParagraph"/>
      </w:pPr>
      <w:r>
        <w:t xml:space="preserve">The intervention consists of sending a formal inquiry regarding a specific, non-partisan policy issue relevant to Japan Osaka, such as "Waste Management Efficiency in Densely Populated Districts" or "Support for Small Businesses in the Dotonbori Area."</w:t>
      </w:r>
    </w:p>
    <w:p>
      <w:pPr>
        <w:pStyle w:val="BodyText"/>
      </w:pPr>
      <w:r>
        <w:t xml:space="preserve">The inquiries will be divided into two groups:</w:t>
      </w:r>
    </w:p>
    <w:p>
      <w:pPr>
        <w:numPr>
          <w:ilvl w:val="0"/>
          <w:numId w:val="1002"/>
        </w:numPr>
        <w:pStyle w:val="Compact"/>
      </w:pPr>
      <w:r>
        <w:rPr>
          <w:bCs/>
          <w:b/>
        </w:rPr>
        <w:t xml:space="preserve">Group A (High Specificity):</w:t>
      </w:r>
      <w:r>
        <w:t xml:space="preserve"> </w:t>
      </w:r>
      <w:r>
        <w:t xml:space="preserve">Detailed questions citing specific data points and requesting concrete policy actions.</w:t>
      </w:r>
    </w:p>
    <w:p>
      <w:pPr>
        <w:numPr>
          <w:ilvl w:val="0"/>
          <w:numId w:val="1002"/>
        </w:numPr>
        <w:pStyle w:val="Compact"/>
      </w:pPr>
      <w:r>
        <w:rPr>
          <w:bCs/>
          <w:b/>
        </w:rPr>
        <w:t xml:space="preserve">Group B (Low Specificity):</w:t>
      </w:r>
      <w:r>
        <w:t xml:space="preserve"> </w:t>
      </w:r>
      <w:r>
        <w:t xml:space="preserve">General questions asking for the Politician's general stance on the issue.</w:t>
      </w:r>
    </w:p>
    <w:bookmarkEnd w:id="24"/>
    <w:bookmarkEnd w:id="25"/>
    <w:bookmarkStart w:id="29" w:name="procedure"/>
    <w:p>
      <w:pPr>
        <w:pStyle w:val="Heading2"/>
      </w:pPr>
      <w:r>
        <w:t xml:space="preserve">4. Procedure</w:t>
      </w:r>
    </w:p>
    <w:bookmarkStart w:id="26" w:name="phase-1-preparation"/>
    <w:p>
      <w:pPr>
        <w:pStyle w:val="Heading3"/>
      </w:pPr>
      <w:r>
        <w:t xml:space="preserve">4.1 Phase 1: Preparation</w:t>
      </w:r>
    </w:p>
    <w:p>
      <w:pPr>
        <w:pStyle w:val="FirstParagraph"/>
      </w:pPr>
      <w:r>
        <w:t xml:space="preserve">Research assistants will compile a database of contact information for the selected Politicians. This includes official email addresses and web-based contact forms. All inquiry templates will be drafted in formal Japanese to ensure cultural appropriateness and professionalism, adhering to the standards expected in Japanese political discourse.</w:t>
      </w:r>
    </w:p>
    <w:bookmarkEnd w:id="26"/>
    <w:bookmarkStart w:id="27" w:name="phase-2-data-collection"/>
    <w:p>
      <w:pPr>
        <w:pStyle w:val="Heading3"/>
      </w:pPr>
      <w:r>
        <w:t xml:space="preserve">4.2 Phase 2: Data Collection</w:t>
      </w:r>
    </w:p>
    <w:p>
      <w:pPr>
        <w:pStyle w:val="FirstParagraph"/>
      </w:pPr>
      <w:r>
        <w:t xml:space="preserve">Inquiries will be dispatched over a two-week period. Each inquiry will be logged with a unique identifier. The system will track:</w:t>
      </w:r>
    </w:p>
    <w:p>
      <w:pPr>
        <w:numPr>
          <w:ilvl w:val="0"/>
          <w:numId w:val="1003"/>
        </w:numPr>
        <w:pStyle w:val="Compact"/>
      </w:pPr>
      <w:r>
        <w:t xml:space="preserve">Timestamp of sending.</w:t>
      </w:r>
    </w:p>
    <w:p>
      <w:pPr>
        <w:numPr>
          <w:ilvl w:val="0"/>
          <w:numId w:val="1003"/>
        </w:numPr>
        <w:pStyle w:val="Compact"/>
      </w:pPr>
      <w:r>
        <w:t xml:space="preserve">Timestamp of any response received.</w:t>
      </w:r>
    </w:p>
    <w:p>
      <w:pPr>
        <w:numPr>
          <w:ilvl w:val="0"/>
          <w:numId w:val="1003"/>
        </w:numPr>
        <w:pStyle w:val="Compact"/>
      </w:pPr>
      <w:r>
        <w:t xml:space="preserve">Method of response (email, phone, letter).</w:t>
      </w:r>
    </w:p>
    <w:p>
      <w:pPr>
        <w:numPr>
          <w:ilvl w:val="0"/>
          <w:numId w:val="1003"/>
        </w:numPr>
        <w:pStyle w:val="Compact"/>
      </w:pPr>
      <w:r>
        <w:t xml:space="preserve">Content of the response.</w:t>
      </w:r>
    </w:p>
    <w:p>
      <w:pPr>
        <w:pStyle w:val="FirstParagraph"/>
      </w:pPr>
      <w:r>
        <w:t xml:space="preserve">A follow-up reminder will be sent 14 days after the initial inquiry if no response is received, to test persistence responsiveness.</w:t>
      </w:r>
    </w:p>
    <w:bookmarkEnd w:id="27"/>
    <w:bookmarkStart w:id="28" w:name="phase-3-analysis"/>
    <w:p>
      <w:pPr>
        <w:pStyle w:val="Heading3"/>
      </w:pPr>
      <w:r>
        <w:t xml:space="preserve">4.3 Phase 3: Analysis</w:t>
      </w:r>
    </w:p>
    <w:p>
      <w:pPr>
        <w:pStyle w:val="FirstParagraph"/>
      </w:pPr>
      <w:r>
        <w:t xml:space="preserve">Responses will be coded by trained analysts using a predefined rubric. The rubric will score responses on:</w:t>
      </w:r>
    </w:p>
    <w:p>
      <w:pPr>
        <w:numPr>
          <w:ilvl w:val="0"/>
          <w:numId w:val="1004"/>
        </w:numPr>
        <w:pStyle w:val="Compact"/>
      </w:pPr>
      <w:r>
        <w:rPr>
          <w:bCs/>
          <w:b/>
        </w:rPr>
        <w:t xml:space="preserve">Relevance:</w:t>
      </w:r>
      <w:r>
        <w:t xml:space="preserve"> </w:t>
      </w:r>
      <w:r>
        <w:t xml:space="preserve">Does the answer address the specific question asked?</w:t>
      </w:r>
    </w:p>
    <w:p>
      <w:pPr>
        <w:numPr>
          <w:ilvl w:val="0"/>
          <w:numId w:val="1004"/>
        </w:numPr>
        <w:pStyle w:val="Compact"/>
      </w:pPr>
      <w:r>
        <w:rPr>
          <w:bCs/>
          <w:b/>
        </w:rPr>
        <w:t xml:space="preserve">Substance:</w:t>
      </w:r>
      <w:r>
        <w:t xml:space="preserve"> </w:t>
      </w:r>
      <w:r>
        <w:t xml:space="preserve">Does the answer provide new information or policy details?</w:t>
      </w:r>
    </w:p>
    <w:p>
      <w:pPr>
        <w:numPr>
          <w:ilvl w:val="0"/>
          <w:numId w:val="1004"/>
        </w:numPr>
        <w:pStyle w:val="Compact"/>
      </w:pPr>
      <w:r>
        <w:rPr>
          <w:bCs/>
          <w:b/>
        </w:rPr>
        <w:t xml:space="preserve">Tone:</w:t>
      </w:r>
      <w:r>
        <w:t xml:space="preserve"> </w:t>
      </w:r>
      <w:r>
        <w:t xml:space="preserve">Is the tone respectful, dismissive, or neutral?</w:t>
      </w:r>
    </w:p>
    <w:bookmarkEnd w:id="28"/>
    <w:bookmarkEnd w:id="29"/>
    <w:bookmarkStart w:id="30" w:name="ethical-considerations"/>
    <w:p>
      <w:pPr>
        <w:pStyle w:val="Heading2"/>
      </w:pPr>
      <w:r>
        <w:t xml:space="preserve">5. Ethical Considerations</w:t>
      </w:r>
    </w:p>
    <w:p>
      <w:pPr>
        <w:pStyle w:val="FirstParagraph"/>
      </w:pPr>
      <w:r>
        <w:t xml:space="preserve">This experiment adheres to strict ethical guidelines. No deception will be used regarding the identity of the senders; all inquiries will be sent from a verified research organization email address. The identities of the Politicians will be anonymized in the final report to prevent reputational harm, focusing instead on aggregate trends. Data privacy laws in Japan, including the Act on the Protection of Personal Information (APPI), will be strictly followed.</w:t>
      </w:r>
    </w:p>
    <w:bookmarkEnd w:id="30"/>
    <w:bookmarkStart w:id="31" w:name="expected-outcomes-and-impact"/>
    <w:p>
      <w:pPr>
        <w:pStyle w:val="Heading2"/>
      </w:pPr>
      <w:r>
        <w:t xml:space="preserve">6. Expected Outcomes and Impact</w:t>
      </w:r>
    </w:p>
    <w:p>
      <w:pPr>
        <w:pStyle w:val="FirstParagraph"/>
      </w:pPr>
      <w:r>
        <w:t xml:space="preserve">We anticipate that this Experiment Protocol will reveal significant disparities in how Politicians in Japan Osaka engage with their constituents. The findings will be published in an open-access report and presented to civic organizations in Osaka. The ultimate goal is to foster a culture of greater accountability and responsiveness, encouraging Politicians to prioritize direct engagement with the public.</w:t>
      </w:r>
    </w:p>
    <w:p>
      <w:pPr>
        <w:pStyle w:val="BodyText"/>
      </w:pPr>
      <w:r>
        <w:t xml:space="preserve">By providing empirical evidence on the effectiveness of different communication strategies, this study will also empower citizens in Japan Osaka to more effectively advocate for their interests and hold their elected officials accountable.</w:t>
      </w:r>
    </w:p>
    <w:bookmarkEnd w:id="31"/>
    <w:bookmarkStart w:id="32" w:name="limitations"/>
    <w:p>
      <w:pPr>
        <w:pStyle w:val="Heading2"/>
      </w:pPr>
      <w:r>
        <w:t xml:space="preserve">7. Limitations</w:t>
      </w:r>
    </w:p>
    <w:p>
      <w:pPr>
        <w:pStyle w:val="FirstParagraph"/>
      </w:pPr>
      <w:r>
        <w:t xml:space="preserve">Potential limitations include the possibility that Politicians may recognize the inquiries as part of a study, potentially altering their natural behavior (Hawthorne effect). Additionally, the scope is limited to written communication, which may not fully capture the dynamics of in-person interactions common in Japanese political culture.</w:t>
      </w:r>
    </w:p>
    <w:p>
      <w:pPr>
        <w:pStyle w:val="BodyText"/>
      </w:pPr>
      <w:r>
        <w:rPr>
          <w:bCs/>
          <w:b/>
        </w:rPr>
        <w:t xml:space="preserve">Disclaimer:</w:t>
      </w:r>
      <w:r>
        <w:t xml:space="preserve"> </w:t>
      </w:r>
      <w:r>
        <w:t xml:space="preserve">This document is a simulated Experiment Protocol for educational and illustrative purposes. It does not represent an actual ongoing study or the views of any specific political entity in Japan Osaka.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Civic Engagement and Policy Responsiveness in Japan Osaka</dc:title>
  <dc:creator/>
  <dc:language>en</dc:language>
  <cp:keywords/>
  <dcterms:created xsi:type="dcterms:W3CDTF">2026-10-10T07:31:38Z</dcterms:created>
  <dcterms:modified xsi:type="dcterms:W3CDTF">2026-10-10T07:31:38Z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