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Almaty</w:t>
      </w:r>
    </w:p>
    <w:bookmarkStart w:id="20" w:name="Xb6c587df57f611a28d980ecdb533b3024956bd8"/>
    <w:p>
      <w:pPr>
        <w:pStyle w:val="Heading1"/>
      </w:pPr>
      <w:r>
        <w:t xml:space="preserve">Experiment Protocol: Digital Political Engagement and Civic Trust</w:t>
      </w:r>
    </w:p>
    <w:p>
      <w:pPr>
        <w:pStyle w:val="FirstParagraph"/>
      </w:pPr>
      <w:r>
        <w:rPr>
          <w:bCs/>
          <w:b/>
        </w:rPr>
        <w:t xml:space="preserve">Location:</w:t>
      </w:r>
      <w:r>
        <w:t xml:space="preserve"> </w:t>
      </w:r>
      <w:r>
        <w:t xml:space="preserve">Almaty, Kazakhstan</w:t>
      </w:r>
    </w:p>
    <w:p>
      <w:pPr>
        <w:pStyle w:val="BodyText"/>
      </w:pPr>
      <w:r>
        <w:rPr>
          <w:bCs/>
          <w:b/>
        </w:rPr>
        <w:t xml:space="preserve">Subject:</w:t>
      </w:r>
      <w:r>
        <w:t xml:space="preserve"> </w:t>
      </w:r>
      <w:r>
        <w:t xml:space="preserve">Politician Communication Strategies</w:t>
      </w:r>
    </w:p>
    <w:p>
      <w:pPr>
        <w:pStyle w:val="BodyText"/>
      </w:pPr>
      <w:r>
        <w:rPr>
          <w:bCs/>
          <w:b/>
        </w:rPr>
        <w:t xml:space="preserve">Protocol ID:</w:t>
      </w:r>
      <w:r>
        <w:t xml:space="preserve"> </w:t>
      </w:r>
      <w:r>
        <w:t xml:space="preserve">KZ-ALM-POL-2024-01</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Almaty, the largest city and cultural hub of Kazakhstan, represents a unique socio-political landscape characterized by rapid urbanization, a highly connected youth demographic, and a complex relationship between citizens and state institutions. As the political environment in Kazakhstan evolves, the role of the</w:t>
      </w:r>
      <w:r>
        <w:t xml:space="preserve"> </w:t>
      </w:r>
      <w:r>
        <w:rPr>
          <w:bCs/>
          <w:b/>
        </w:rPr>
        <w:t xml:space="preserve">politician</w:t>
      </w:r>
      <w:r>
        <w:t xml:space="preserve"> </w:t>
      </w:r>
      <w:r>
        <w:t xml:space="preserve">as a communicator is undergoing significant transformation. Traditional top-down communication methods are increasingly being supplemented, and sometimes challenged, by digital platforms and social media interactions.</w:t>
      </w:r>
    </w:p>
    <w:p>
      <w:pPr>
        <w:pStyle w:val="BodyText"/>
      </w:pPr>
      <w:r>
        <w:t xml:space="preserve">This</w:t>
      </w:r>
      <w:r>
        <w:t xml:space="preserve"> </w:t>
      </w:r>
      <w:r>
        <w:rPr>
          <w:bCs/>
          <w:b/>
        </w:rPr>
        <w:t xml:space="preserve">Experiment Protocol</w:t>
      </w:r>
      <w:r>
        <w:t xml:space="preserve"> </w:t>
      </w:r>
      <w:r>
        <w:t xml:space="preserve">is designed to investigate the efficacy of different communication strategies employed by local politicians in Almaty. Specifically, it aims to measure how varying degrees of transparency, responsiveness, and platform choice influence public trust and civic engagement among Almaty residents. Understanding these dynamics is crucial for fostering a more responsive governance model in Kazakhstan's most populous city.</w:t>
      </w:r>
    </w:p>
    <w:bookmarkEnd w:id="21"/>
    <w:bookmarkStart w:id="22"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quantify the impact of direct digital engagement by a</w:t>
      </w:r>
      <w:r>
        <w:t xml:space="preserve"> </w:t>
      </w:r>
      <w:r>
        <w:rPr>
          <w:bCs/>
          <w:b/>
        </w:rPr>
        <w:t xml:space="preserve">politician</w:t>
      </w:r>
      <w:r>
        <w:t xml:space="preserve"> </w:t>
      </w:r>
      <w:r>
        <w:t xml:space="preserve">on voter trust levels in Almaty.</w:t>
      </w:r>
    </w:p>
    <w:p>
      <w:pPr>
        <w:numPr>
          <w:ilvl w:val="0"/>
          <w:numId w:val="1001"/>
        </w:numPr>
        <w:pStyle w:val="Compact"/>
      </w:pPr>
      <w:r>
        <w:t xml:space="preserve">To compare the effectiveness of formal press releases versus informal social media interactions in conveying policy information.</w:t>
      </w:r>
    </w:p>
    <w:p>
      <w:pPr>
        <w:numPr>
          <w:ilvl w:val="0"/>
          <w:numId w:val="1001"/>
        </w:numPr>
        <w:pStyle w:val="Compact"/>
      </w:pPr>
      <w:r>
        <w:t xml:space="preserve">To identify demographic segments within Almaty that are most responsive to different political communication styles.</w:t>
      </w:r>
    </w:p>
    <w:p>
      <w:pPr>
        <w:numPr>
          <w:ilvl w:val="0"/>
          <w:numId w:val="1001"/>
        </w:numPr>
        <w:pStyle w:val="Compact"/>
      </w:pPr>
      <w:r>
        <w:t xml:space="preserve">To provide evidence-based recommendations for political actors in Kazakhstan seeking to improve citizen-state relations.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Participants will be exposed to different simulated political communication scenarios. The study will be conducted over a period of six weeks, ensuring sufficient time for data collection and behavioral observation.</w:t>
      </w:r>
    </w:p>
    <w:bookmarkEnd w:id="23"/>
    <w:bookmarkStart w:id="24" w:name="participants"/>
    <w:p>
      <w:pPr>
        <w:pStyle w:val="Heading3"/>
      </w:pPr>
      <w:r>
        <w:t xml:space="preserve">3.2 Participants</w:t>
      </w:r>
    </w:p>
    <w:p>
      <w:pPr>
        <w:pStyle w:val="FirstParagraph"/>
      </w:pPr>
      <w:r>
        <w:t xml:space="preserve">The target population consists of registered voters residing in Almaty, Kazakhstan. A sample size of 1,200 participants will be recruited to ensure statistical significance. Recruitment will be stratified to reflect the demographic diversity of Almaty, including age, gender, socioeconomic status, and district of residence. Inclusion criteria require participants to be at least 18 years old and active users of at least one major social media platform popular in Kazakhstan (e.g., Instagram, Telegram, Facebook).</w:t>
      </w:r>
    </w:p>
    <w:bookmarkEnd w:id="24"/>
    <w:bookmarkStart w:id="25"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The communication style of the simulated</w:t>
      </w:r>
      <w:r>
        <w:t xml:space="preserve"> </w:t>
      </w:r>
      <w:r>
        <w:rPr>
          <w:bCs/>
          <w:b/>
        </w:rPr>
        <w:t xml:space="preserve">politician</w:t>
      </w:r>
      <w:r>
        <w:t xml:space="preserve">. This includes three conditions:</w:t>
      </w:r>
    </w:p>
    <w:p>
      <w:pPr>
        <w:numPr>
          <w:ilvl w:val="1"/>
          <w:numId w:val="1003"/>
        </w:numPr>
        <w:pStyle w:val="Compact"/>
      </w:pPr>
      <w:r>
        <w:rPr>
          <w:iCs/>
          <w:i/>
        </w:rPr>
        <w:t xml:space="preserve">Condition A (Formal):</w:t>
      </w:r>
      <w:r>
        <w:t xml:space="preserve"> </w:t>
      </w:r>
      <w:r>
        <w:t xml:space="preserve">Official statements, press releases, and structured Q&amp;A sessions.</w:t>
      </w:r>
    </w:p>
    <w:p>
      <w:pPr>
        <w:numPr>
          <w:ilvl w:val="1"/>
          <w:numId w:val="1003"/>
        </w:numPr>
        <w:pStyle w:val="Compact"/>
      </w:pPr>
      <w:r>
        <w:rPr>
          <w:iCs/>
          <w:i/>
        </w:rPr>
        <w:t xml:space="preserve">Condition B (Interactive):</w:t>
      </w:r>
      <w:r>
        <w:t xml:space="preserve"> </w:t>
      </w:r>
      <w:r>
        <w:t xml:space="preserve">Live streams, direct replies to comments, and behind-the-scenes content.</w:t>
      </w:r>
    </w:p>
    <w:p>
      <w:pPr>
        <w:numPr>
          <w:ilvl w:val="1"/>
          <w:numId w:val="1003"/>
        </w:numPr>
        <w:pStyle w:val="Compact"/>
      </w:pPr>
      <w:r>
        <w:rPr>
          <w:iCs/>
          <w:i/>
        </w:rPr>
        <w:t xml:space="preserve">Condition C (Hybrid):</w:t>
      </w:r>
      <w:r>
        <w:t xml:space="preserve"> </w:t>
      </w:r>
      <w:r>
        <w:t xml:space="preserve">A balanced mix of formal announcements and informal engagement.</w:t>
      </w:r>
    </w:p>
    <w:p>
      <w:pPr>
        <w:numPr>
          <w:ilvl w:val="0"/>
          <w:numId w:val="1002"/>
        </w:numPr>
        <w:pStyle w:val="Compact"/>
      </w:pPr>
      <w:r>
        <w:rPr>
          <w:bCs/>
          <w:b/>
        </w:rPr>
        <w:t xml:space="preserve">Dependent Variables:</w:t>
      </w:r>
    </w:p>
    <w:p>
      <w:pPr>
        <w:numPr>
          <w:ilvl w:val="1"/>
          <w:numId w:val="1004"/>
        </w:numPr>
        <w:pStyle w:val="Compact"/>
      </w:pPr>
      <w:r>
        <w:t xml:space="preserve">Perceived trustworthiness of the</w:t>
      </w:r>
      <w:r>
        <w:t xml:space="preserve"> </w:t>
      </w:r>
      <w:r>
        <w:rPr>
          <w:bCs/>
          <w:b/>
        </w:rPr>
        <w:t xml:space="preserve">politician</w:t>
      </w:r>
      <w:r>
        <w:t xml:space="preserve">.</w:t>
      </w:r>
    </w:p>
    <w:p>
      <w:pPr>
        <w:numPr>
          <w:ilvl w:val="1"/>
          <w:numId w:val="1004"/>
        </w:numPr>
        <w:pStyle w:val="Compact"/>
      </w:pPr>
      <w:r>
        <w:t xml:space="preserve">Intent to engage in civic activities (e.g., voting, attending town halls).</w:t>
      </w:r>
    </w:p>
    <w:p>
      <w:pPr>
        <w:numPr>
          <w:ilvl w:val="1"/>
          <w:numId w:val="1004"/>
        </w:numPr>
        <w:pStyle w:val="Compact"/>
      </w:pPr>
      <w:r>
        <w:t xml:space="preserve">Emotional response to political messaging (measured via sentiment analysis).</w:t>
      </w:r>
    </w:p>
    <w:bookmarkEnd w:id="25"/>
    <w:bookmarkEnd w:id="26"/>
    <w:bookmarkStart w:id="27" w:name="procedure"/>
    <w:p>
      <w:pPr>
        <w:pStyle w:val="Heading2"/>
      </w:pPr>
      <w:r>
        <w:t xml:space="preserve">4. Procedure</w:t>
      </w:r>
    </w:p>
    <w:p>
      <w:pPr>
        <w:pStyle w:val="FirstParagraph"/>
      </w:pPr>
      <w:r>
        <w:t xml:space="preserve">The experiment will be conducted in three phases, adhering strictly to this</w:t>
      </w:r>
      <w:r>
        <w:t xml:space="preserve"> </w:t>
      </w:r>
      <w:r>
        <w:rPr>
          <w:bCs/>
          <w:b/>
        </w:rPr>
        <w:t xml:space="preserve">Experiment Protocol</w:t>
      </w:r>
      <w:r>
        <w:t xml:space="preserve">:</w:t>
      </w:r>
    </w:p>
    <w:p>
      <w:pPr>
        <w:numPr>
          <w:ilvl w:val="0"/>
          <w:numId w:val="1005"/>
        </w:numPr>
        <w:pStyle w:val="Compact"/>
      </w:pPr>
      <w:r>
        <w:rPr>
          <w:bCs/>
          <w:b/>
        </w:rPr>
        <w:t xml:space="preserve">Phase 1: Baseline Survey.</w:t>
      </w:r>
      <w:r>
        <w:t xml:space="preserve"> </w:t>
      </w:r>
      <w:r>
        <w:t xml:space="preserve">Participants will complete an initial survey assessing their current levels of political trust, familiarity with local issues in Almaty, and media consumption habits. This establishes a control baseline.</w:t>
      </w:r>
    </w:p>
    <w:p>
      <w:pPr>
        <w:numPr>
          <w:ilvl w:val="0"/>
          <w:numId w:val="1005"/>
        </w:numPr>
        <w:pStyle w:val="Compact"/>
      </w:pPr>
      <w:r>
        <w:rPr>
          <w:bCs/>
          <w:b/>
        </w:rPr>
        <w:t xml:space="preserve">Phase 2: Intervention.</w:t>
      </w:r>
      <w:r>
        <w:t xml:space="preserve"> </w:t>
      </w:r>
      <w:r>
        <w:t xml:space="preserve">Participants will be randomly assigned to one of the three communication conditions. Over four weeks, they will follow a simulated</w:t>
      </w:r>
      <w:r>
        <w:t xml:space="preserve"> </w:t>
      </w:r>
      <w:r>
        <w:rPr>
          <w:bCs/>
          <w:b/>
        </w:rPr>
        <w:t xml:space="preserve">politician</w:t>
      </w:r>
      <w:r>
        <w:t xml:space="preserve"> </w:t>
      </w:r>
      <w:r>
        <w:t xml:space="preserve">profile on a dedicated platform. The content will address relevant local issues in Almaty, such as urban development, public transportation, and environmental concerns, ensuring contextual relevance.</w:t>
      </w:r>
    </w:p>
    <w:p>
      <w:pPr>
        <w:numPr>
          <w:ilvl w:val="0"/>
          <w:numId w:val="1005"/>
        </w:numPr>
        <w:pStyle w:val="Compact"/>
      </w:pPr>
      <w:r>
        <w:rPr>
          <w:bCs/>
          <w:b/>
        </w:rPr>
        <w:t xml:space="preserve">Phase 3: Post-Intervention Assessment.</w:t>
      </w:r>
      <w:r>
        <w:t xml:space="preserve"> </w:t>
      </w:r>
      <w:r>
        <w:t xml:space="preserve">Following the exposure period, participants will complete a final survey measuring changes in trust, engagement intent, and sentiment. Additionally, qualitative interviews will be conducted with a subset of participants to gain deeper insights into their perceptions.</w:t>
      </w:r>
    </w:p>
    <w:bookmarkEnd w:id="27"/>
    <w:bookmarkStart w:id="28" w:name="ethical-considerations"/>
    <w:p>
      <w:pPr>
        <w:pStyle w:val="Heading2"/>
      </w:pPr>
      <w:r>
        <w:t xml:space="preserve">5. Ethical Considerations</w:t>
      </w:r>
    </w:p>
    <w:p>
      <w:pPr>
        <w:pStyle w:val="FirstParagraph"/>
      </w:pPr>
      <w:r>
        <w:t xml:space="preserve">Given the sensitive nature of political research in Kazakhstan, this</w:t>
      </w:r>
      <w:r>
        <w:t xml:space="preserve"> </w:t>
      </w:r>
      <w:r>
        <w:rPr>
          <w:bCs/>
          <w:b/>
        </w:rPr>
        <w:t xml:space="preserve">Experiment Protocol</w:t>
      </w:r>
      <w:r>
        <w:t xml:space="preserve"> </w:t>
      </w:r>
      <w:r>
        <w:t xml:space="preserve">prioritizes ethical integrity. All participants will provide informed consent, clearly understanding the study's purpose and their right to withdraw at any time. Data will be anonymized and stored securely in compliance with Kazakhstan's data protection laws. The simulated</w:t>
      </w:r>
      <w:r>
        <w:t xml:space="preserve"> </w:t>
      </w:r>
      <w:r>
        <w:rPr>
          <w:bCs/>
          <w:b/>
        </w:rPr>
        <w:t xml:space="preserve">politician</w:t>
      </w:r>
      <w:r>
        <w:t xml:space="preserve"> </w:t>
      </w:r>
      <w:r>
        <w:t xml:space="preserve">will not be affiliated with any real political party or individual to avoid influencing actual political outcomes or causing undue bias.</w:t>
      </w:r>
    </w:p>
    <w:bookmarkEnd w:id="28"/>
    <w:bookmarkStart w:id="29" w:name="data-analysis"/>
    <w:p>
      <w:pPr>
        <w:pStyle w:val="Heading2"/>
      </w:pPr>
      <w:r>
        <w:t xml:space="preserve">6. Data Analysis</w:t>
      </w:r>
    </w:p>
    <w:p>
      <w:pPr>
        <w:pStyle w:val="FirstParagraph"/>
      </w:pPr>
      <w:r>
        <w:t xml:space="preserve">Quantitative data will be analyzed using statistical software to compare mean scores across the three conditions. ANOVA tests will determine if significant differences exist in trust and engagement levels. Qualitative data from interviews will be coded thematically to identify recurring patterns in participant feedback. The analysis will focus on how the specific context of Almaty influences the reception of political communication.</w:t>
      </w:r>
    </w:p>
    <w:bookmarkEnd w:id="29"/>
    <w:bookmarkStart w:id="30" w:name="expected-outcomes-and-implications"/>
    <w:p>
      <w:pPr>
        <w:pStyle w:val="Heading2"/>
      </w:pPr>
      <w:r>
        <w:t xml:space="preserve">7. Expected Outcomes and Implications</w:t>
      </w:r>
    </w:p>
    <w:p>
      <w:pPr>
        <w:pStyle w:val="FirstParagraph"/>
      </w:pPr>
      <w:r>
        <w:t xml:space="preserve">This</w:t>
      </w:r>
      <w:r>
        <w:t xml:space="preserve"> </w:t>
      </w:r>
      <w:r>
        <w:rPr>
          <w:bCs/>
          <w:b/>
        </w:rPr>
        <w:t xml:space="preserve">Experiment Protocol</w:t>
      </w:r>
      <w:r>
        <w:t xml:space="preserve"> </w:t>
      </w:r>
      <w:r>
        <w:t xml:space="preserve">anticipates that interactive and hybrid communication strategies will yield higher levels of trust and engagement compared to purely formal approaches, particularly among younger demographics in Almaty. The findings will provide valuable insights for</w:t>
      </w:r>
      <w:r>
        <w:t xml:space="preserve"> </w:t>
      </w:r>
      <w:r>
        <w:rPr>
          <w:bCs/>
          <w:b/>
        </w:rPr>
        <w:t xml:space="preserve">politicians</w:t>
      </w:r>
      <w:r>
        <w:t xml:space="preserve"> </w:t>
      </w:r>
      <w:r>
        <w:t xml:space="preserve">in Kazakhstan seeking to adapt to the digital age. By understanding the preferences of Almaty's citizens, political actors can develop more effective communication strategies that enhance transparency, accountability, and civic participation. Ultimately, this research aims to contribute to the broader discourse on democratic engagement and governance in Central Asia.</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outlines a rigorous and ethical approach to studying political communication in Almaty, Kazakhstan. By focusing on the dynamic between the</w:t>
      </w:r>
      <w:r>
        <w:t xml:space="preserve"> </w:t>
      </w:r>
      <w:r>
        <w:rPr>
          <w:bCs/>
          <w:b/>
        </w:rPr>
        <w:t xml:space="preserve">politician</w:t>
      </w:r>
      <w:r>
        <w:t xml:space="preserve"> </w:t>
      </w:r>
      <w:r>
        <w:t xml:space="preserve">and the public, the study seeks to generate actionable knowledge that can improve the quality of political discourse and strengthen the bond between citizens and their representatives. The results will be disseminated through academic publications and policy briefs, ensuring that the findings reach both scholarly and practical audiences.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Almaty</dc:title>
  <dc:creator/>
  <dc:language>en</dc:language>
  <cp:keywords/>
  <dcterms:created xsi:type="dcterms:W3CDTF">2026-10-10T06:23:30Z</dcterms:created>
  <dcterms:modified xsi:type="dcterms:W3CDTF">2026-10-10T06:23:30Z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