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Kuala</w:t>
      </w:r>
      <w:r>
        <w:t xml:space="preserve"> </w:t>
      </w:r>
      <w:r>
        <w:t xml:space="preserve">Lumpur</w:t>
      </w:r>
    </w:p>
    <w:bookmarkStart w:id="20" w:name="Xd3ced093dc690f2ee6fe20f5ed84ba3b4335fde"/>
    <w:p>
      <w:pPr>
        <w:pStyle w:val="Heading1"/>
      </w:pPr>
      <w:r>
        <w:t xml:space="preserve">Experiment Protocol: Assessing the Impact of Digital Transparency on Politician Accountability in Malaysia Kuala Lumpur</w:t>
      </w:r>
    </w:p>
    <w:p>
      <w:pPr>
        <w:pStyle w:val="FirstParagraph"/>
      </w:pPr>
      <w:r>
        <w:rPr>
          <w:bCs/>
          <w:b/>
        </w:rPr>
        <w:t xml:space="preserve">Protocol ID:</w:t>
      </w:r>
      <w:r>
        <w:t xml:space="preserve"> </w:t>
      </w:r>
      <w:r>
        <w:t xml:space="preserve">KL-POL-EXP-2024-001</w:t>
      </w:r>
    </w:p>
    <w:p>
      <w:pPr>
        <w:pStyle w:val="BodyText"/>
      </w:pPr>
      <w:r>
        <w:rPr>
          <w:bCs/>
          <w:b/>
        </w:rPr>
        <w:t xml:space="preserve">Date of Issue:</w:t>
      </w:r>
      <w:r>
        <w:t xml:space="preserve"> </w:t>
      </w:r>
      <w:r>
        <w:t xml:space="preserve">October 26, 2023</w:t>
      </w:r>
    </w:p>
    <w:p>
      <w:pPr>
        <w:pStyle w:val="BodyText"/>
      </w:pPr>
      <w:r>
        <w:rPr>
          <w:bCs/>
          <w:b/>
        </w:rPr>
        <w:t xml:space="preserve">Location:</w:t>
      </w:r>
      <w:r>
        <w:t xml:space="preserve"> </w:t>
      </w:r>
      <w:r>
        <w:t xml:space="preserve">Kuala Lumpur, Federal Territory, Malaysia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sociopolitical study designed to evaluate the efficacy of real-time digital transparency tools in enhancing the perceived accountability of a Politician within the urban landscape of Malaysia Kuala Lumpur. As the capital city of Malaysia, Kuala Lumpur represents a unique microcosm of diverse demographics, high internet penetration, and a rapidly evolving civic engagement culture. The study aims to determine if direct, unfiltered digital access to a Politician's daily activities influences voter trust and policy support.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changes in public trust metrics regarding a specific Politician before and after the implementation of a "Glass House" transparency protocol.</w:t>
      </w:r>
    </w:p>
    <w:p>
      <w:pPr>
        <w:numPr>
          <w:ilvl w:val="0"/>
          <w:numId w:val="1001"/>
        </w:numPr>
        <w:pStyle w:val="Compact"/>
      </w:pPr>
      <w:r>
        <w:t xml:space="preserve">To analyze the correlation between digital accessibility and civic engagement rates among residents of Kuala Lumpur.</w:t>
      </w:r>
    </w:p>
    <w:p>
      <w:pPr>
        <w:numPr>
          <w:ilvl w:val="0"/>
          <w:numId w:val="1001"/>
        </w:numPr>
        <w:pStyle w:val="Compact"/>
      </w:pPr>
      <w:r>
        <w:t xml:space="preserve">To assess the operational impact on the Politician's workflow and decision-making processes when subjected to continuous public observation.</w:t>
      </w:r>
    </w:p>
    <w:bookmarkEnd w:id="22"/>
    <w:bookmarkStart w:id="23" w:name="scope-and-definitions"/>
    <w:p>
      <w:pPr>
        <w:pStyle w:val="Heading2"/>
      </w:pPr>
      <w:r>
        <w:t xml:space="preserve">3. Scope and Definitions</w:t>
      </w:r>
    </w:p>
    <w:p>
      <w:pPr>
        <w:pStyle w:val="FirstParagraph"/>
      </w:pPr>
      <w:r>
        <w:rPr>
          <w:bCs/>
          <w:b/>
        </w:rPr>
        <w:t xml:space="preserve">3.1 The Politician:</w:t>
      </w:r>
      <w:r>
        <w:t xml:space="preserve"> </w:t>
      </w:r>
      <w:r>
        <w:t xml:space="preserve">For the purpose of this protocol, "The Politician" refers to a sitting Member of Parliament (MP) or State Assemblyman representing a constituency within the Kuala Lumpur Federal Territory. The subject must have a minimum tenure of one year to ensure an established baseline of public perception.</w:t>
      </w:r>
    </w:p>
    <w:p>
      <w:pPr>
        <w:pStyle w:val="BodyText"/>
      </w:pPr>
      <w:r>
        <w:rPr>
          <w:bCs/>
          <w:b/>
        </w:rPr>
        <w:t xml:space="preserve">3.2 Malaysia Kuala Lumpur Context:</w:t>
      </w:r>
      <w:r>
        <w:t xml:space="preserve"> </w:t>
      </w:r>
      <w:r>
        <w:t xml:space="preserve">The experiment is strictly confined to the geographical and cultural boundaries of Kuala Lumpur. This includes considerations of the city's multi-ethnic composition (Malay, Chinese, Indian, and Indigenous groups) and the specific regulatory environment governed by the Malaysian Communications and Multimedia Commission (MCMC).</w:t>
      </w:r>
    </w:p>
    <w:bookmarkEnd w:id="23"/>
    <w:bookmarkStart w:id="24" w:name="methodology"/>
    <w:p>
      <w:pPr>
        <w:pStyle w:val="Heading2"/>
      </w:pPr>
      <w:r>
        <w:t xml:space="preserve">4. Methodology</w:t>
      </w:r>
    </w:p>
    <w:p>
      <w:pPr>
        <w:pStyle w:val="FirstParagraph"/>
      </w:pPr>
      <w:r>
        <w:rPr>
          <w:bCs/>
          <w:b/>
        </w:rPr>
        <w:t xml:space="preserve">4.1 Experimental Design:</w:t>
      </w:r>
      <w:r>
        <w:t xml:space="preserve"> </w:t>
      </w:r>
      <w:r>
        <w:t xml:space="preserve">This study utilizes a randomized controlled trial (RCT) design. Two constituencies within Kuala Lumpur will be selected. Constituency A will serve as the Control Group, where the Politician operates under standard communication protocols. Constituency B will serve as the Experimental Group, where the Politician adopts the "Radical Transparency" protocol.</w:t>
      </w:r>
    </w:p>
    <w:p>
      <w:pPr>
        <w:pStyle w:val="BodyText"/>
      </w:pPr>
      <w:r>
        <w:rPr>
          <w:bCs/>
          <w:b/>
        </w:rPr>
        <w:t xml:space="preserve">4.2 The Transparency Protocol:</w:t>
      </w:r>
      <w:r>
        <w:t xml:space="preserve"> </w:t>
      </w:r>
      <w:r>
        <w:t xml:space="preserve">In the Experimental Group, the Politician will utilize a dedicated application to broadcast live updates of non-sensitive parliamentary activities, town hall meetings, and constituency visits. This includes real-time location sharing during public engagements and an open ledger of official expenditures.</w:t>
      </w:r>
    </w:p>
    <w:p>
      <w:pPr>
        <w:pStyle w:val="BodyText"/>
      </w:pPr>
      <w:r>
        <w:rPr>
          <w:bCs/>
          <w:b/>
        </w:rPr>
        <w:t xml:space="preserve">4.3 Data Collection:</w:t>
      </w:r>
      <w:r>
        <w:t xml:space="preserve"> </w:t>
      </w:r>
      <w:r>
        <w:t xml:space="preserve">Data will be collected over a period of six months. Metrics include:</w:t>
      </w:r>
    </w:p>
    <w:p>
      <w:pPr>
        <w:numPr>
          <w:ilvl w:val="0"/>
          <w:numId w:val="1002"/>
        </w:numPr>
        <w:pStyle w:val="Compact"/>
      </w:pPr>
      <w:r>
        <w:t xml:space="preserve">Sentiment analysis of social media mentions specific to the Politician in Kuala Lumpur.</w:t>
      </w:r>
    </w:p>
    <w:p>
      <w:pPr>
        <w:numPr>
          <w:ilvl w:val="0"/>
          <w:numId w:val="1002"/>
        </w:numPr>
        <w:pStyle w:val="Compact"/>
      </w:pPr>
      <w:r>
        <w:t xml:space="preserve">Attendance rates at physical town hall meetings.</w:t>
      </w:r>
    </w:p>
    <w:p>
      <w:pPr>
        <w:numPr>
          <w:ilvl w:val="0"/>
          <w:numId w:val="1002"/>
        </w:numPr>
        <w:pStyle w:val="Compact"/>
      </w:pPr>
      <w:r>
        <w:t xml:space="preserve">Surveys conducted via mobile devices targeting residents aged 18-65.</w:t>
      </w:r>
    </w:p>
    <w:bookmarkEnd w:id="24"/>
    <w:bookmarkStart w:id="25" w:name="ethical-considerations-and-compliance"/>
    <w:p>
      <w:pPr>
        <w:pStyle w:val="Heading2"/>
      </w:pPr>
      <w:r>
        <w:t xml:space="preserve">5. Ethical Considerations and Compliance</w:t>
      </w:r>
    </w:p>
    <w:p>
      <w:pPr>
        <w:pStyle w:val="FirstParagraph"/>
      </w:pPr>
      <w:r>
        <w:rPr>
          <w:bCs/>
          <w:b/>
        </w:rPr>
        <w:t xml:space="preserve">5.1 Privacy and Security:</w:t>
      </w:r>
      <w:r>
        <w:t xml:space="preserve"> </w:t>
      </w:r>
      <w:r>
        <w:t xml:space="preserve">Given the high-profile nature of a Politician in Malaysia Kuala Lumpur, strict security measures are mandatory. The protocol must comply with the Personal Data Protection Act 2010 (PDPA) of Malaysia. No private communications or sensitive national security data will be disclosed.</w:t>
      </w:r>
    </w:p>
    <w:p>
      <w:pPr>
        <w:pStyle w:val="BodyText"/>
      </w:pPr>
      <w:r>
        <w:rPr>
          <w:bCs/>
          <w:b/>
        </w:rPr>
        <w:t xml:space="preserve">5.2 Informed Consent:</w:t>
      </w:r>
      <w:r>
        <w:t xml:space="preserve"> </w:t>
      </w:r>
      <w:r>
        <w:t xml:space="preserve">All participants in the survey component must provide informed consent. The Politician must voluntarily agree to the terms of the transparency protocol, understanding the potential reputational risks.</w:t>
      </w:r>
    </w:p>
    <w:p>
      <w:pPr>
        <w:pStyle w:val="BodyText"/>
      </w:pPr>
      <w:r>
        <w:rPr>
          <w:bCs/>
          <w:b/>
        </w:rPr>
        <w:t xml:space="preserve">5.3 Cultural Sensitivity:</w:t>
      </w:r>
      <w:r>
        <w:t xml:space="preserve"> </w:t>
      </w:r>
      <w:r>
        <w:t xml:space="preserve">The protocol acknowledges the cultural nuances of Kuala Lumpur. Content moderation algorithms will be employed to prevent hate speech or religious incitement in the public comment sections of the transparency platform, in accordance with Malaysian laws.</w:t>
      </w:r>
    </w:p>
    <w:bookmarkEnd w:id="25"/>
    <w:bookmarkStart w:id="26" w:name="risk-management"/>
    <w:p>
      <w:pPr>
        <w:pStyle w:val="Heading2"/>
      </w:pPr>
      <w:r>
        <w:t xml:space="preserve">6. Risk Management</w:t>
      </w:r>
    </w:p>
    <w:p>
      <w:pPr>
        <w:pStyle w:val="FirstParagraph"/>
      </w:pPr>
      <w:r>
        <w:rPr>
          <w:bCs/>
          <w:b/>
        </w:rPr>
        <w:t xml:space="preserve">6.1 Harassment and Doxxing:</w:t>
      </w:r>
      <w:r>
        <w:t xml:space="preserve"> </w:t>
      </w:r>
      <w:r>
        <w:t xml:space="preserve">There is a risk that increased visibility of the Politician could lead to targeted harassment. A dedicated cybersecurity team will monitor the platform 24/7 to mitigate threats.</w:t>
      </w:r>
    </w:p>
    <w:p>
      <w:pPr>
        <w:pStyle w:val="BodyText"/>
      </w:pPr>
      <w:r>
        <w:rPr>
          <w:bCs/>
          <w:b/>
        </w:rPr>
        <w:t xml:space="preserve">6.2 Misinformation:</w:t>
      </w:r>
      <w:r>
        <w:t xml:space="preserve"> </w:t>
      </w:r>
      <w:r>
        <w:t xml:space="preserve">To combat the spread of misinformation, a fact-checking mechanism will be integrated into the platform, verified by independent academic institutions in Kuala Lumpur.</w:t>
      </w:r>
    </w:p>
    <w:bookmarkEnd w:id="26"/>
    <w:bookmarkStart w:id="27" w:name="timeline"/>
    <w:p>
      <w:pPr>
        <w:pStyle w:val="Heading2"/>
      </w:pPr>
      <w:r>
        <w:t xml:space="preserve">7. Timeline</w:t>
      </w:r>
    </w:p>
    <w:p>
      <w:pPr>
        <w:numPr>
          <w:ilvl w:val="0"/>
          <w:numId w:val="1003"/>
        </w:numPr>
        <w:pStyle w:val="Compact"/>
      </w:pPr>
      <w:r>
        <w:rPr>
          <w:bCs/>
          <w:b/>
        </w:rPr>
        <w:t xml:space="preserve">Month 1:</w:t>
      </w:r>
      <w:r>
        <w:t xml:space="preserve"> </w:t>
      </w:r>
      <w:r>
        <w:t xml:space="preserve">Recruitment of the Politician and baseline data collection.</w:t>
      </w:r>
    </w:p>
    <w:p>
      <w:pPr>
        <w:numPr>
          <w:ilvl w:val="0"/>
          <w:numId w:val="1003"/>
        </w:numPr>
        <w:pStyle w:val="Compact"/>
      </w:pPr>
      <w:r>
        <w:rPr>
          <w:bCs/>
          <w:b/>
        </w:rPr>
        <w:t xml:space="preserve">Month 2-7:</w:t>
      </w:r>
      <w:r>
        <w:t xml:space="preserve"> </w:t>
      </w:r>
      <w:r>
        <w:t xml:space="preserve">Implementation of the Experiment Protocol.</w:t>
      </w:r>
    </w:p>
    <w:p>
      <w:pPr>
        <w:numPr>
          <w:ilvl w:val="0"/>
          <w:numId w:val="1003"/>
        </w:numPr>
        <w:pStyle w:val="Compact"/>
      </w:pPr>
      <w:r>
        <w:rPr>
          <w:bCs/>
          <w:b/>
        </w:rPr>
        <w:t xml:space="preserve">Month 8:</w:t>
      </w:r>
      <w:r>
        <w:t xml:space="preserve"> </w:t>
      </w:r>
      <w:r>
        <w:t xml:space="preserve">Post-experiment surveys and data analysis.</w:t>
      </w:r>
    </w:p>
    <w:p>
      <w:pPr>
        <w:numPr>
          <w:ilvl w:val="0"/>
          <w:numId w:val="1003"/>
        </w:numPr>
        <w:pStyle w:val="Compact"/>
      </w:pPr>
      <w:r>
        <w:rPr>
          <w:bCs/>
          <w:b/>
        </w:rPr>
        <w:t xml:space="preserve">Month 9:</w:t>
      </w:r>
      <w:r>
        <w:t xml:space="preserve"> </w:t>
      </w:r>
      <w:r>
        <w:t xml:space="preserve">Publication of findings and policy recommendations.</w:t>
      </w:r>
    </w:p>
    <w:bookmarkEnd w:id="27"/>
    <w:bookmarkStart w:id="28" w:name="conclusion"/>
    <w:p>
      <w:pPr>
        <w:pStyle w:val="Heading2"/>
      </w:pPr>
      <w:r>
        <w:t xml:space="preserve">8. Conclusion</w:t>
      </w:r>
    </w:p>
    <w:p>
      <w:pPr>
        <w:pStyle w:val="FirstParagraph"/>
      </w:pPr>
      <w:r>
        <w:t xml:space="preserve">This Experiment Protocol provides a rigorous framework for testing the hypothesis that radical digital transparency can redefine the relationship between a Politician and the electorate in Malaysia Kuala Lumpur. By adhering to these guidelines, we aim to generate actionable insights that could reshape democratic engagement in the region.</w:t>
      </w:r>
    </w:p>
    <w:bookmarkEnd w:id="28"/>
    <w:p>
      <w:pPr>
        <w:pStyle w:val="BodyText"/>
      </w:pPr>
      <w:r>
        <w:t xml:space="preserve">Document Classification: Confidential | Prepared for Academic and Policy Review |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and Civic Engagement in Kuala Lumpur</dc:title>
  <dc:creator/>
  <dc:language>en</dc:language>
  <cp:keywords/>
  <dcterms:created xsi:type="dcterms:W3CDTF">2026-10-10T09:17:26Z</dcterms:created>
  <dcterms:modified xsi:type="dcterms:W3CDTF">2026-10-10T09:17:26Z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