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Political</w:t>
      </w:r>
      <w:r>
        <w:t xml:space="preserve"> </w:t>
      </w:r>
      <w:r>
        <w:t xml:space="preserve">Decision-Making</w:t>
      </w:r>
      <w:r>
        <w:t xml:space="preserve"> </w:t>
      </w:r>
      <w:r>
        <w:t xml:space="preserve">Dynamics</w:t>
      </w:r>
      <w:r>
        <w:t xml:space="preserve"> </w:t>
      </w:r>
      <w:r>
        <w:t xml:space="preserve">in</w:t>
      </w:r>
      <w:r>
        <w:t xml:space="preserve"> </w:t>
      </w:r>
      <w:r>
        <w:t xml:space="preserve">Wellington</w:t>
      </w:r>
    </w:p>
    <w:bookmarkStart w:id="30" w:name="Xc22356d650e9af30d573409392d3b0618d7e0e6"/>
    <w:p>
      <w:pPr>
        <w:pStyle w:val="Heading1"/>
      </w:pPr>
      <w:r>
        <w:t xml:space="preserve">Experiment Protocol: Civic Engagement and Policy Responsiveness</w:t>
      </w:r>
    </w:p>
    <w:p>
      <w:pPr>
        <w:pStyle w:val="FirstParagraph"/>
      </w:pPr>
      <w:r>
        <w:rPr>
          <w:bCs/>
          <w:b/>
        </w:rPr>
        <w:t xml:space="preserve">Protocol ID:</w:t>
      </w:r>
      <w:r>
        <w:t xml:space="preserve"> </w:t>
      </w:r>
      <w:r>
        <w:t xml:space="preserve">NZ-WLG-POL-2024-001</w:t>
      </w:r>
    </w:p>
    <w:p>
      <w:pPr>
        <w:pStyle w:val="BodyText"/>
      </w:pPr>
      <w:r>
        <w:rPr>
          <w:bCs/>
          <w:b/>
        </w:rPr>
        <w:t xml:space="preserve">Location:</w:t>
      </w:r>
      <w:r>
        <w:t xml:space="preserve"> </w:t>
      </w:r>
      <w:r>
        <w:t xml:space="preserve">Wellington City, New Zealand</w:t>
      </w:r>
    </w:p>
    <w:p>
      <w:pPr>
        <w:pStyle w:val="BodyText"/>
      </w:pPr>
      <w:r>
        <w:rPr>
          <w:bCs/>
          <w:b/>
        </w:rPr>
        <w:t xml:space="preserve">Subject Focus:</w:t>
      </w:r>
      <w:r>
        <w:t xml:space="preserve"> </w:t>
      </w:r>
      <w:r>
        <w:t xml:space="preserve">The Politician (Local and National Representatives)</w:t>
      </w:r>
    </w:p>
    <w:p>
      <w:pPr>
        <w:pStyle w:val="BodyText"/>
      </w:pPr>
      <w:r>
        <w:rPr>
          <w:bCs/>
          <w:b/>
        </w:rPr>
        <w:t xml:space="preserve">Date of Issue:</w:t>
      </w:r>
      <w:r>
        <w:t xml:space="preserve"> </w:t>
      </w:r>
      <w:r>
        <w:t xml:space="preserve">October 2023</w:t>
      </w:r>
    </w:p>
    <w:p>
      <w:pPr>
        <w:pStyle w:val="BodyText"/>
      </w:pPr>
      <w:r>
        <w:rPr>
          <w:bCs/>
          <w:b/>
        </w:rPr>
        <w:t xml:space="preserve">Version:</w:t>
      </w:r>
      <w:r>
        <w:t xml:space="preserve"> </w:t>
      </w:r>
      <w:r>
        <w:t xml:space="preserve">1.0</w:t>
      </w:r>
    </w:p>
    <w:bookmarkStart w:id="20" w:name="introduction-and-rationale"/>
    <w:p>
      <w:pPr>
        <w:pStyle w:val="Heading2"/>
      </w:pPr>
      <w:r>
        <w:t xml:space="preserve">1. Introduction and Rationale</w:t>
      </w:r>
    </w:p>
    <w:p>
      <w:pPr>
        <w:pStyle w:val="FirstParagraph"/>
      </w:pPr>
      <w:r>
        <w:t xml:space="preserve">This Experiment Protocol outlines the methodology for a controlled study examining the responsiveness of the</w:t>
      </w:r>
      <w:r>
        <w:t xml:space="preserve"> </w:t>
      </w:r>
      <w:r>
        <w:rPr>
          <w:bCs/>
          <w:b/>
        </w:rPr>
        <w:t xml:space="preserve">Politician</w:t>
      </w:r>
      <w:r>
        <w:t xml:space="preserve"> </w:t>
      </w:r>
      <w:r>
        <w:t xml:space="preserve">to constituent feedback within the unique socio-political landscape of</w:t>
      </w:r>
      <w:r>
        <w:t xml:space="preserve"> </w:t>
      </w:r>
      <w:r>
        <w:rPr>
          <w:bCs/>
          <w:b/>
        </w:rPr>
        <w:t xml:space="preserve">New Zealand Wellington</w:t>
      </w:r>
      <w:r>
        <w:t xml:space="preserve">. Wellington serves as the capital city of New Zealand, housing the Beehive, Parliament House, and the central government apparatus. Consequently, the intersection of local governance and national policy is most acute here.</w:t>
      </w:r>
    </w:p>
    <w:p>
      <w:pPr>
        <w:pStyle w:val="BodyText"/>
      </w:pPr>
      <w:r>
        <w:t xml:space="preserve">The primary objective is to quantify how effectively a</w:t>
      </w:r>
      <w:r>
        <w:t xml:space="preserve"> </w:t>
      </w:r>
      <w:r>
        <w:rPr>
          <w:bCs/>
          <w:b/>
        </w:rPr>
        <w:t xml:space="preserve">Politician</w:t>
      </w:r>
      <w:r>
        <w:t xml:space="preserve"> </w:t>
      </w:r>
      <w:r>
        <w:t xml:space="preserve">translates constituent concerns into actionable policy positions or legislative inquiries. By isolating variables such as the medium of communication, the demographic profile of the constituent, and the complexity of the issue, this study aims to provide empirical data on democratic accountability. The protocol is designed to adhere strictly to the ethical standards set by the New Zealand Code of Ethics for Research Involving Humans.</w:t>
      </w:r>
    </w:p>
    <w:bookmarkEnd w:id="20"/>
    <w:bookmarkStart w:id="21" w:name="objectives"/>
    <w:p>
      <w:pPr>
        <w:pStyle w:val="Heading2"/>
      </w:pPr>
      <w:r>
        <w:t xml:space="preserve">2. Objectives</w:t>
      </w:r>
    </w:p>
    <w:p>
      <w:pPr>
        <w:pStyle w:val="FirstParagraph"/>
      </w:pPr>
      <w:r>
        <w:t xml:space="preserve">The specific aims of this experiment are as follows:</w:t>
      </w:r>
    </w:p>
    <w:p>
      <w:pPr>
        <w:numPr>
          <w:ilvl w:val="0"/>
          <w:numId w:val="1001"/>
        </w:numPr>
        <w:pStyle w:val="Compact"/>
      </w:pPr>
      <w:r>
        <w:t xml:space="preserve">To measure the response time of a</w:t>
      </w:r>
      <w:r>
        <w:t xml:space="preserve"> </w:t>
      </w:r>
      <w:r>
        <w:rPr>
          <w:bCs/>
          <w:b/>
        </w:rPr>
        <w:t xml:space="preserve">Politician</w:t>
      </w:r>
      <w:r>
        <w:t xml:space="preserve"> </w:t>
      </w:r>
      <w:r>
        <w:t xml:space="preserve">(or their electorate office staff) to formal constituent inquiries in</w:t>
      </w:r>
      <w:r>
        <w:t xml:space="preserve"> </w:t>
      </w:r>
      <w:r>
        <w:rPr>
          <w:bCs/>
          <w:b/>
        </w:rPr>
        <w:t xml:space="preserve">New Zealand Wellington</w:t>
      </w:r>
      <w:r>
        <w:t xml:space="preserve">.</w:t>
      </w:r>
    </w:p>
    <w:p>
      <w:pPr>
        <w:numPr>
          <w:ilvl w:val="0"/>
          <w:numId w:val="1001"/>
        </w:numPr>
        <w:pStyle w:val="Compact"/>
      </w:pPr>
      <w:r>
        <w:t xml:space="preserve">To analyze the substantive quality of responses provided by the</w:t>
      </w:r>
      <w:r>
        <w:t xml:space="preserve"> </w:t>
      </w:r>
      <w:r>
        <w:rPr>
          <w:bCs/>
          <w:b/>
        </w:rPr>
        <w:t xml:space="preserve">Politician</w:t>
      </w:r>
      <w:r>
        <w:t xml:space="preserve"> </w:t>
      </w:r>
      <w:r>
        <w:t xml:space="preserve">regarding local infrastructure versus national policy issues.</w:t>
      </w:r>
    </w:p>
    <w:p>
      <w:pPr>
        <w:numPr>
          <w:ilvl w:val="0"/>
          <w:numId w:val="1001"/>
        </w:numPr>
        <w:pStyle w:val="Compact"/>
      </w:pPr>
      <w:r>
        <w:t xml:space="preserve">To determine if the perceived urgency of a request influences the prioritization strategies employed by the</w:t>
      </w:r>
      <w:r>
        <w:t xml:space="preserve"> </w:t>
      </w:r>
      <w:r>
        <w:rPr>
          <w:bCs/>
          <w:b/>
        </w:rPr>
        <w:t xml:space="preserve">Politician</w:t>
      </w:r>
      <w:r>
        <w:t xml:space="preserve">.</w:t>
      </w:r>
    </w:p>
    <w:p>
      <w:pPr>
        <w:numPr>
          <w:ilvl w:val="0"/>
          <w:numId w:val="1001"/>
        </w:numPr>
        <w:pStyle w:val="Compact"/>
      </w:pPr>
      <w:r>
        <w:t xml:space="preserve">To evaluate the impact of digital versus traditional communication channels on the engagement levels of the</w:t>
      </w:r>
      <w:r>
        <w:t xml:space="preserve"> </w:t>
      </w:r>
      <w:r>
        <w:rPr>
          <w:bCs/>
          <w:b/>
        </w:rPr>
        <w:t xml:space="preserve">Politician</w:t>
      </w:r>
      <w:r>
        <w:t xml:space="preserve">.</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utilizes a randomized controlled trial (RCT) design. We will simulate constituent inquiries directed at selected</w:t>
      </w:r>
      <w:r>
        <w:t xml:space="preserve"> </w:t>
      </w:r>
      <w:r>
        <w:rPr>
          <w:bCs/>
          <w:b/>
        </w:rPr>
        <w:t xml:space="preserve">Politician</w:t>
      </w:r>
      <w:r>
        <w:t xml:space="preserve"> </w:t>
      </w:r>
      <w:r>
        <w:t xml:space="preserve">representatives serving the Wellington electorate. The inquiries will be standardized but randomized across different variables to test specific hypotheses regarding political responsiveness.</w:t>
      </w:r>
    </w:p>
    <w:bookmarkEnd w:id="22"/>
    <w:bookmarkStart w:id="23" w:name="participants"/>
    <w:p>
      <w:pPr>
        <w:pStyle w:val="Heading3"/>
      </w:pPr>
      <w:r>
        <w:t xml:space="preserve">3.2 Participants</w:t>
      </w:r>
    </w:p>
    <w:p>
      <w:pPr>
        <w:pStyle w:val="FirstParagraph"/>
      </w:pPr>
      <w:r>
        <w:t xml:space="preserve">The subjects of this experiment are the</w:t>
      </w:r>
      <w:r>
        <w:t xml:space="preserve"> </w:t>
      </w:r>
      <w:r>
        <w:rPr>
          <w:bCs/>
          <w:b/>
        </w:rPr>
        <w:t xml:space="preserve">Politician</w:t>
      </w:r>
      <w:r>
        <w:t xml:space="preserve"> </w:t>
      </w:r>
      <w:r>
        <w:t xml:space="preserve">representatives currently holding office in the Wellington region. This includes Members of Parliament (MPs) for the Wellington Central, Wellington North, and Wellington South electorates, as well as key members of the Wellington City Council. The selection ensures a representative sample of the political landscape in</w:t>
      </w:r>
      <w:r>
        <w:t xml:space="preserve"> </w:t>
      </w:r>
      <w:r>
        <w:rPr>
          <w:bCs/>
          <w:b/>
        </w:rPr>
        <w:t xml:space="preserve">New Zealand Wellington</w:t>
      </w:r>
      <w:r>
        <w:t xml:space="preserve">.</w:t>
      </w:r>
    </w:p>
    <w:bookmarkEnd w:id="23"/>
    <w:bookmarkStart w:id="24" w:name="procedure"/>
    <w:p>
      <w:pPr>
        <w:pStyle w:val="Heading3"/>
      </w:pPr>
      <w:r>
        <w:t xml:space="preserve">3.3 Procedure</w:t>
      </w:r>
    </w:p>
    <w:p>
      <w:pPr>
        <w:pStyle w:val="FirstParagraph"/>
      </w:pPr>
      <w:r>
        <w:t xml:space="preserve">The experiment will proceed in three distinct phases:</w:t>
      </w:r>
    </w:p>
    <w:p>
      <w:pPr>
        <w:numPr>
          <w:ilvl w:val="0"/>
          <w:numId w:val="1002"/>
        </w:numPr>
        <w:pStyle w:val="Compact"/>
      </w:pPr>
      <w:r>
        <w:rPr>
          <w:bCs/>
          <w:b/>
        </w:rPr>
        <w:t xml:space="preserve">Phase 1: Baseline Data Collection.</w:t>
      </w:r>
      <w:r>
        <w:t xml:space="preserve"> </w:t>
      </w:r>
      <w:r>
        <w:t xml:space="preserve">We will gather public records of previous constituent interactions to establish a baseline for the</w:t>
      </w:r>
      <w:r>
        <w:t xml:space="preserve"> </w:t>
      </w:r>
      <w:r>
        <w:rPr>
          <w:bCs/>
          <w:b/>
        </w:rPr>
        <w:t xml:space="preserve">Politician</w:t>
      </w:r>
      <w:r>
        <w:t xml:space="preserve">'s typical engagement metrics.</w:t>
      </w:r>
    </w:p>
    <w:p>
      <w:pPr>
        <w:numPr>
          <w:ilvl w:val="0"/>
          <w:numId w:val="1002"/>
        </w:numPr>
        <w:pStyle w:val="Compact"/>
      </w:pPr>
      <w:r>
        <w:rPr>
          <w:bCs/>
          <w:b/>
        </w:rPr>
        <w:t xml:space="preserve">Phase 2: Intervention.</w:t>
      </w:r>
      <w:r>
        <w:t xml:space="preserve"> </w:t>
      </w:r>
      <w:r>
        <w:t xml:space="preserve">A series of 500 standardized inquiries will be sent. Half will be sent via email, and half via physical mail to the electorate offices in</w:t>
      </w:r>
      <w:r>
        <w:t xml:space="preserve"> </w:t>
      </w:r>
      <w:r>
        <w:rPr>
          <w:bCs/>
          <w:b/>
        </w:rPr>
        <w:t xml:space="preserve">New Zealand Wellington</w:t>
      </w:r>
      <w:r>
        <w:t xml:space="preserve">. The content will vary between "high urgency" (e.g., local safety concerns) and "low urgency" (e.g., general policy opinions).</w:t>
      </w:r>
    </w:p>
    <w:p>
      <w:pPr>
        <w:numPr>
          <w:ilvl w:val="0"/>
          <w:numId w:val="1002"/>
        </w:numPr>
        <w:pStyle w:val="Compact"/>
      </w:pPr>
      <w:r>
        <w:rPr>
          <w:bCs/>
          <w:b/>
        </w:rPr>
        <w:t xml:space="preserve">Phase 3: Analysis.</w:t>
      </w:r>
      <w:r>
        <w:t xml:space="preserve"> </w:t>
      </w:r>
      <w:r>
        <w:t xml:space="preserve">Responses will be coded for timeliness, tone, and substantive content. We will assess whether the</w:t>
      </w:r>
      <w:r>
        <w:t xml:space="preserve"> </w:t>
      </w:r>
      <w:r>
        <w:rPr>
          <w:bCs/>
          <w:b/>
        </w:rPr>
        <w:t xml:space="preserve">Politician</w:t>
      </w:r>
      <w:r>
        <w:t xml:space="preserve"> </w:t>
      </w:r>
      <w:r>
        <w:t xml:space="preserve">provided a direct answer, a deflection, or no response.</w:t>
      </w:r>
    </w:p>
    <w:bookmarkEnd w:id="24"/>
    <w:bookmarkEnd w:id="25"/>
    <w:bookmarkStart w:id="26" w:name="variables"/>
    <w:p>
      <w:pPr>
        <w:pStyle w:val="Heading2"/>
      </w:pPr>
      <w:r>
        <w:t xml:space="preserve">4. Variables</w:t>
      </w:r>
    </w:p>
    <w:p>
      <w:pPr>
        <w:pStyle w:val="FirstParagraph"/>
      </w:pPr>
      <w:r>
        <w:rPr>
          <w:bCs/>
          <w:b/>
        </w:rPr>
        <w:t xml:space="preserve">Independent Variables:</w:t>
      </w:r>
    </w:p>
    <w:p>
      <w:pPr>
        <w:numPr>
          <w:ilvl w:val="0"/>
          <w:numId w:val="1003"/>
        </w:numPr>
        <w:pStyle w:val="Compact"/>
      </w:pPr>
      <w:r>
        <w:t xml:space="preserve">Communication Channel (Email vs. Postal Mail).</w:t>
      </w:r>
    </w:p>
    <w:p>
      <w:pPr>
        <w:numPr>
          <w:ilvl w:val="0"/>
          <w:numId w:val="1003"/>
        </w:numPr>
        <w:pStyle w:val="Compact"/>
      </w:pPr>
      <w:r>
        <w:t xml:space="preserve">Issue Type (Local Wellington Infrastructure vs. National Policy).</w:t>
      </w:r>
    </w:p>
    <w:p>
      <w:pPr>
        <w:numPr>
          <w:ilvl w:val="0"/>
          <w:numId w:val="1003"/>
        </w:numPr>
        <w:pStyle w:val="Compact"/>
      </w:pPr>
      <w:r>
        <w:t xml:space="preserve">Sender Persona (Young First-Time Voter vs. Long-term Resident).</w:t>
      </w:r>
    </w:p>
    <w:p>
      <w:pPr>
        <w:pStyle w:val="FirstParagraph"/>
      </w:pPr>
      <w:r>
        <w:rPr>
          <w:bCs/>
          <w:b/>
        </w:rPr>
        <w:t xml:space="preserve">Dependent Variables:</w:t>
      </w:r>
    </w:p>
    <w:p>
      <w:pPr>
        <w:numPr>
          <w:ilvl w:val="0"/>
          <w:numId w:val="1004"/>
        </w:numPr>
        <w:pStyle w:val="Compact"/>
      </w:pPr>
      <w:r>
        <w:t xml:space="preserve">Time to First Response (in hours).</w:t>
      </w:r>
    </w:p>
    <w:p>
      <w:pPr>
        <w:numPr>
          <w:ilvl w:val="0"/>
          <w:numId w:val="1004"/>
        </w:numPr>
        <w:pStyle w:val="Compact"/>
      </w:pPr>
      <w:r>
        <w:t xml:space="preserve">Responsiveness Score (a composite metric of helpfulness and accuracy).</w:t>
      </w:r>
    </w:p>
    <w:p>
      <w:pPr>
        <w:numPr>
          <w:ilvl w:val="0"/>
          <w:numId w:val="1004"/>
        </w:numPr>
        <w:pStyle w:val="Compact"/>
      </w:pPr>
      <w:r>
        <w:t xml:space="preserve">Personalization Level (whether the</w:t>
      </w:r>
      <w:r>
        <w:t xml:space="preserve"> </w:t>
      </w:r>
      <w:r>
        <w:rPr>
          <w:bCs/>
          <w:b/>
        </w:rPr>
        <w:t xml:space="preserve">Politician</w:t>
      </w:r>
      <w:r>
        <w:t xml:space="preserve"> </w:t>
      </w:r>
      <w:r>
        <w:t xml:space="preserve">signed the response personally).</w:t>
      </w:r>
    </w:p>
    <w:bookmarkEnd w:id="26"/>
    <w:bookmarkStart w:id="27" w:name="ethical-considerations"/>
    <w:p>
      <w:pPr>
        <w:pStyle w:val="Heading2"/>
      </w:pPr>
      <w:r>
        <w:t xml:space="preserve">5. Ethical Considerations</w:t>
      </w:r>
    </w:p>
    <w:p>
      <w:pPr>
        <w:pStyle w:val="FirstParagraph"/>
      </w:pPr>
      <w:r>
        <w:t xml:space="preserve">Given that this experiment involves public figures, specifically the</w:t>
      </w:r>
      <w:r>
        <w:t xml:space="preserve"> </w:t>
      </w:r>
      <w:r>
        <w:rPr>
          <w:bCs/>
          <w:b/>
        </w:rPr>
        <w:t xml:space="preserve">Politician</w:t>
      </w:r>
      <w:r>
        <w:t xml:space="preserve">, ethical considerations are paramount. While politicians are public servants, the protocol must avoid harassment or undue burden on their offices.</w:t>
      </w:r>
    </w:p>
    <w:p>
      <w:pPr>
        <w:pStyle w:val="BodyText"/>
      </w:pPr>
      <w:r>
        <w:t xml:space="preserve">The study will ensure that all simulated inquiries are truthful and do not constitute misinformation. The identities of the simulated constituents will be clearly disclosed to the</w:t>
      </w:r>
      <w:r>
        <w:t xml:space="preserve"> </w:t>
      </w:r>
      <w:r>
        <w:rPr>
          <w:bCs/>
          <w:b/>
        </w:rPr>
        <w:t xml:space="preserve">Politician</w:t>
      </w:r>
      <w:r>
        <w:t xml:space="preserve"> </w:t>
      </w:r>
      <w:r>
        <w:t xml:space="preserve">upon request or at the conclusion of the study. Furthermore, the research team will adhere to the Privacy Act 2020 of New Zealand, ensuring that no personal data of actual constituents is compromised during the analysis of the</w:t>
      </w:r>
      <w:r>
        <w:t xml:space="preserve"> </w:t>
      </w:r>
      <w:r>
        <w:rPr>
          <w:bCs/>
          <w:b/>
        </w:rPr>
        <w:t xml:space="preserve">Politician</w:t>
      </w:r>
      <w:r>
        <w:t xml:space="preserve">'s office workflows.</w:t>
      </w:r>
    </w:p>
    <w:bookmarkEnd w:id="27"/>
    <w:bookmarkStart w:id="28" w:name="data-analysis-plan"/>
    <w:p>
      <w:pPr>
        <w:pStyle w:val="Heading2"/>
      </w:pPr>
      <w:r>
        <w:t xml:space="preserve">6. Data Analysis Plan</w:t>
      </w:r>
    </w:p>
    <w:p>
      <w:pPr>
        <w:pStyle w:val="FirstParagraph"/>
      </w:pPr>
      <w:r>
        <w:t xml:space="preserve">Data will be analyzed using statistical software to identify significant correlations between the independent variables and the responsiveness of the</w:t>
      </w:r>
      <w:r>
        <w:t xml:space="preserve"> </w:t>
      </w:r>
      <w:r>
        <w:rPr>
          <w:bCs/>
          <w:b/>
        </w:rPr>
        <w:t xml:space="preserve">Politician</w:t>
      </w:r>
      <w:r>
        <w:t xml:space="preserve">. We will employ regression analysis to control for external factors, such as the political calendar in</w:t>
      </w:r>
      <w:r>
        <w:t xml:space="preserve"> </w:t>
      </w:r>
      <w:r>
        <w:rPr>
          <w:bCs/>
          <w:b/>
        </w:rPr>
        <w:t xml:space="preserve">New Zealand Wellington</w:t>
      </w:r>
      <w:r>
        <w:t xml:space="preserve"> </w:t>
      </w:r>
      <w:r>
        <w:t xml:space="preserve">(e.g., election periods or budget announcements). The goal is to produce a robust dataset that can inform future civic engagement strategies.</w:t>
      </w:r>
    </w:p>
    <w:bookmarkEnd w:id="28"/>
    <w:bookmarkStart w:id="29" w:name="conclusion"/>
    <w:p>
      <w:pPr>
        <w:pStyle w:val="Heading2"/>
      </w:pPr>
      <w:r>
        <w:t xml:space="preserve">7. Conclusion</w:t>
      </w:r>
    </w:p>
    <w:p>
      <w:pPr>
        <w:pStyle w:val="FirstParagraph"/>
      </w:pPr>
      <w:r>
        <w:t xml:space="preserve">This Experiment Protocol provides a rigorous framework for understanding the dynamics between the</w:t>
      </w:r>
      <w:r>
        <w:t xml:space="preserve"> </w:t>
      </w:r>
      <w:r>
        <w:rPr>
          <w:bCs/>
          <w:b/>
        </w:rPr>
        <w:t xml:space="preserve">Politician</w:t>
      </w:r>
      <w:r>
        <w:t xml:space="preserve"> </w:t>
      </w:r>
      <w:r>
        <w:t xml:space="preserve">and the public in</w:t>
      </w:r>
      <w:r>
        <w:t xml:space="preserve"> </w:t>
      </w:r>
      <w:r>
        <w:rPr>
          <w:bCs/>
          <w:b/>
        </w:rPr>
        <w:t xml:space="preserve">New Zealand Wellington</w:t>
      </w:r>
      <w:r>
        <w:t xml:space="preserve">. By systematically testing these interactions, we aim to enhance transparency and improve the mechanisms through which citizens can hold their representatives accountable. The findings will be published in an open-access format to benefit the broader community of political scientists and civic organizations.</w:t>
      </w:r>
    </w:p>
    <w:p>
      <w:pPr>
        <w:pStyle w:val="BodyText"/>
      </w:pPr>
      <w:r>
        <w:rPr>
          <w:bCs/>
          <w:b/>
        </w:rPr>
        <w:t xml:space="preserve">Disclaimer:</w:t>
      </w:r>
      <w:r>
        <w:t xml:space="preserve"> </w:t>
      </w:r>
      <w:r>
        <w:t xml:space="preserve">This document is a template for an academic or civic research protocol. It does not constitute legal advice or an official government directive.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Political Decision-Making Dynamics in Wellington</dc:title>
  <dc:creator/>
  <dc:language>en</dc:language>
  <cp:keywords/>
  <dcterms:created xsi:type="dcterms:W3CDTF">2026-10-10T08:09:57Z</dcterms:created>
  <dcterms:modified xsi:type="dcterms:W3CDTF">2026-10-10T08:09:57Z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