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Political</w:t>
      </w:r>
      <w:r>
        <w:t xml:space="preserve"> </w:t>
      </w:r>
      <w:r>
        <w:t xml:space="preserve">Accountability</w:t>
      </w:r>
      <w:r>
        <w:t xml:space="preserve"> </w:t>
      </w:r>
      <w:r>
        <w:t xml:space="preserve">and</w:t>
      </w:r>
      <w:r>
        <w:t xml:space="preserve"> </w:t>
      </w:r>
      <w:r>
        <w:t xml:space="preserve">Service</w:t>
      </w:r>
      <w:r>
        <w:t xml:space="preserve"> </w:t>
      </w:r>
      <w:r>
        <w:t xml:space="preserve">Delivery</w:t>
      </w:r>
      <w:r>
        <w:t xml:space="preserve"> </w:t>
      </w:r>
      <w:r>
        <w:t xml:space="preserve">in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31" w:name="Xbfc47bb7bd1fb4f9dd8baba97f13853bfbef6cf"/>
    <w:p>
      <w:pPr>
        <w:pStyle w:val="Heading1"/>
      </w:pPr>
      <w:r>
        <w:t xml:space="preserve">Experiment Protocol: Assessing the Impact of Direct Constituent Engagement on Politician Performance in Karachi, Pakistan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Karachi, the largest city in Pakistan and its economic hub, faces significant governance challenges, including infrastructure deficits, service delivery gaps, and political fragmentation. The relationship between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the electorate in this context is often characterized by patronage networks rather than policy-driven accountability.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aims to test whether structured, data-driven direct engagement mechanisms can improve the responsiveness of local politicians to constituent needs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t xml:space="preserve">The study focuses on municipal-level politicians, including Members of the Karachi Metropolitan Corporation (KMC) and local councilors, who are directly responsible for service delivery in their constituencies. By introducing a randomized intervention, we seek to understand how transparency and direct feedback loops influence political behavior and public trust.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measure the effect of real-time constituent feedback on the service delivery performance of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 Karachi.</w:t>
      </w:r>
    </w:p>
    <w:p>
      <w:pPr>
        <w:numPr>
          <w:ilvl w:val="0"/>
          <w:numId w:val="1001"/>
        </w:numPr>
        <w:pStyle w:val="Compact"/>
      </w:pPr>
      <w:r>
        <w:t xml:space="preserve">To assess changes in public trust and satisfaction levels among residents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when politicians are held accountable through digital platforms.</w:t>
      </w:r>
    </w:p>
    <w:p>
      <w:pPr>
        <w:numPr>
          <w:ilvl w:val="0"/>
          <w:numId w:val="1001"/>
        </w:numPr>
        <w:pStyle w:val="Compact"/>
      </w:pPr>
      <w:r>
        <w:t xml:space="preserve">To identify barriers to political responsiveness in urban settings within Pakistan.</w:t>
      </w:r>
    </w:p>
    <w:p>
      <w:pPr>
        <w:numPr>
          <w:ilvl w:val="0"/>
          <w:numId w:val="1001"/>
        </w:numPr>
        <w:pStyle w:val="Compact"/>
      </w:pPr>
      <w:r>
        <w:t xml:space="preserve">To develop a scalable model for enhancing democratic accountability at the local government level.</w:t>
      </w:r>
    </w:p>
    <w:bookmarkEnd w:id="21"/>
    <w:bookmarkStart w:id="25" w:name="methodology"/>
    <w:p>
      <w:pPr>
        <w:pStyle w:val="Heading2"/>
      </w:pPr>
      <w:r>
        <w:t xml:space="preserve">3. Methodology</w:t>
      </w:r>
    </w:p>
    <w:bookmarkStart w:id="22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employs a randomized controlled trial (RCT) design. We will select 20 constituencies across Karachi, ensuring representation from diverse socioeconomic backgrounds, including high-density informal settlements and affluent neighborhoods. These constituencies will be randomly assigned to either the treatment group or the control group.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Treatment Group:</w:t>
      </w:r>
      <w:r>
        <w:t xml:space="preserve"> </w:t>
      </w:r>
      <w:r>
        <w:t xml:space="preserve">Constituencies where the assigned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receive a digital dashboard providing real-time feedback from constituents regarding local issues (e.g., water supply, sanitation, road repairs).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Control Group:</w:t>
      </w:r>
      <w:r>
        <w:t xml:space="preserve"> </w:t>
      </w:r>
      <w:r>
        <w:t xml:space="preserve">Constituencies where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continue with traditional methods of constituent engagement without the digital intervention.</w:t>
      </w:r>
    </w:p>
    <w:bookmarkEnd w:id="22"/>
    <w:bookmarkStart w:id="23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The participants include:</w:t>
      </w:r>
    </w:p>
    <w:p>
      <w:pPr>
        <w:numPr>
          <w:ilvl w:val="0"/>
          <w:numId w:val="1003"/>
        </w:numPr>
        <w:pStyle w:val="Compact"/>
      </w:pPr>
      <w:r>
        <w:t xml:space="preserve">Local politicians (KMC members and councilors) in the selected constituencies.</w:t>
      </w:r>
    </w:p>
    <w:p>
      <w:pPr>
        <w:numPr>
          <w:ilvl w:val="0"/>
          <w:numId w:val="1003"/>
        </w:numPr>
        <w:pStyle w:val="Compact"/>
      </w:pPr>
      <w:r>
        <w:t xml:space="preserve">Constituents aged 18 and above, registered voters in Karachi.</w:t>
      </w:r>
    </w:p>
    <w:p>
      <w:pPr>
        <w:numPr>
          <w:ilvl w:val="0"/>
          <w:numId w:val="1003"/>
        </w:numPr>
        <w:pStyle w:val="Compact"/>
      </w:pPr>
      <w:r>
        <w:t xml:space="preserve">Local government officials responsible for implementing service delivery projects.</w:t>
      </w:r>
    </w:p>
    <w:bookmarkEnd w:id="23"/>
    <w:bookmarkStart w:id="24" w:name="intervention"/>
    <w:p>
      <w:pPr>
        <w:pStyle w:val="Heading3"/>
      </w:pPr>
      <w:r>
        <w:t xml:space="preserve">3.3 Intervention</w:t>
      </w:r>
    </w:p>
    <w:p>
      <w:pPr>
        <w:pStyle w:val="FirstParagraph"/>
      </w:pPr>
      <w:r>
        <w:t xml:space="preserve">The intervention involves the deployment of a mobile application and SMS-based platform that allows constituents to report issues and rate their satisfaction with local services. The data collected will be aggregated and presented to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 the treatment group on a weekly basis. The platform will also enable politicians to respond directly to constituents, creating a feedback loop.</w:t>
      </w:r>
    </w:p>
    <w:p>
      <w:pPr>
        <w:pStyle w:val="BodyText"/>
      </w:pPr>
      <w:r>
        <w:t xml:space="preserve">In the control group, no such platform will be introduced, and politicians will rely on existing channels for constituent communication.</w:t>
      </w:r>
    </w:p>
    <w:bookmarkEnd w:id="24"/>
    <w:bookmarkEnd w:id="25"/>
    <w:bookmarkStart w:id="26" w:name="data-collection"/>
    <w:p>
      <w:pPr>
        <w:pStyle w:val="Heading2"/>
      </w:pPr>
      <w:r>
        <w:t xml:space="preserve">4. Data Collection</w:t>
      </w:r>
    </w:p>
    <w:p>
      <w:pPr>
        <w:pStyle w:val="FirstParagraph"/>
      </w:pPr>
      <w:r>
        <w:t xml:space="preserve">Data will be collected through multiple methods to ensure robustness and triangulation: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Baseline and endline surveys will be conducted among constituents to measure changes in trust, satisfaction, and perceived responsiveness of their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Administrative Data:</w:t>
      </w:r>
      <w:r>
        <w:t xml:space="preserve"> </w:t>
      </w:r>
      <w:r>
        <w:t xml:space="preserve">Records of service delivery projects initiated and completed in each constituency will be analyzed.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Platform Analytics:</w:t>
      </w:r>
      <w:r>
        <w:t xml:space="preserve"> </w:t>
      </w:r>
      <w:r>
        <w:t xml:space="preserve">Data from the digital platform will be used to track the volume and nature of constituent complaints and politician responses.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In-depth interviews with politicians, local officials, and community leaders will provide qualitative insights into the experiment’s impact.</w:t>
      </w:r>
    </w:p>
    <w:bookmarkEnd w:id="26"/>
    <w:bookmarkStart w:id="27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strict ethical guidelines to protect the rights and well-being of participants: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will provide informed consent before joining the study.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Personal data collected from constituents will be anonymized and stored securely.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Neutrality:</w:t>
      </w:r>
      <w:r>
        <w:t xml:space="preserve"> </w:t>
      </w:r>
      <w:r>
        <w:t xml:space="preserve">The study will remain politically neutral, avoiding any bias toward specific parties or candidates.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Approval:</w:t>
      </w:r>
      <w:r>
        <w:t xml:space="preserve"> </w:t>
      </w:r>
      <w:r>
        <w:t xml:space="preserve">The protocol has been reviewed and approved by an independent ethics committee.</w:t>
      </w:r>
    </w:p>
    <w:bookmarkEnd w:id="27"/>
    <w:bookmarkStart w:id="28" w:name="timeline"/>
    <w:p>
      <w:pPr>
        <w:pStyle w:val="Heading2"/>
      </w:pPr>
      <w:r>
        <w:t xml:space="preserve">6. Timeline</w:t>
      </w:r>
    </w:p>
    <w:p>
      <w:pPr>
        <w:pStyle w:val="FirstParagraph"/>
      </w:pPr>
      <w:r>
        <w:t xml:space="preserve">The experiment will be conducted over a period of 12 months, divided into the following phases: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1-2:</w:t>
      </w:r>
      <w:r>
        <w:t xml:space="preserve"> </w:t>
      </w:r>
      <w:r>
        <w:t xml:space="preserve">Recruitment of constituencies and participants, baseline data collection.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3-10:</w:t>
      </w:r>
      <w:r>
        <w:t xml:space="preserve"> </w:t>
      </w:r>
      <w:r>
        <w:t xml:space="preserve">Implementation of the intervention and ongoing data collection.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11-12:</w:t>
      </w:r>
      <w:r>
        <w:t xml:space="preserve"> </w:t>
      </w:r>
      <w:r>
        <w:t xml:space="preserve">Endline data collection, analysis, and reporting.</w:t>
      </w:r>
    </w:p>
    <w:bookmarkEnd w:id="28"/>
    <w:bookmarkStart w:id="29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We anticipate that the intervention will lead to:</w:t>
      </w:r>
    </w:p>
    <w:p>
      <w:pPr>
        <w:numPr>
          <w:ilvl w:val="0"/>
          <w:numId w:val="1007"/>
        </w:numPr>
        <w:pStyle w:val="Compact"/>
      </w:pPr>
      <w:r>
        <w:t xml:space="preserve">Increased responsiveness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to constituent needs in the treatment group.</w:t>
      </w:r>
    </w:p>
    <w:p>
      <w:pPr>
        <w:numPr>
          <w:ilvl w:val="0"/>
          <w:numId w:val="1007"/>
        </w:numPr>
        <w:pStyle w:val="Compact"/>
      </w:pPr>
      <w:r>
        <w:t xml:space="preserve">Higher levels of public trust and satisfaction among residents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Improved service delivery outcomes in areas such as sanitation, water supply, and infrastructure maintenance.</w:t>
      </w:r>
    </w:p>
    <w:p>
      <w:pPr>
        <w:numPr>
          <w:ilvl w:val="0"/>
          <w:numId w:val="1007"/>
        </w:numPr>
        <w:pStyle w:val="Compact"/>
      </w:pPr>
      <w:r>
        <w:t xml:space="preserve">Valuable insights into the role of technology in enhancing democratic accountability in urban settings.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represents a novel approach to understanding and improving the relationship between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the electorate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By leveraging technology and data-driven methods, we aim to contribute to the broader discourse on governance, accountability, and democratic participation in one of the world’s most dynamic and challenging urban environments.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Political Accountability and Service Delivery in Karachi, Pakistan</dc:title>
  <dc:creator/>
  <dc:language>en</dc:language>
  <cp:keywords/>
  <dcterms:created xsi:type="dcterms:W3CDTF">2026-10-10T06:19:07Z</dcterms:created>
  <dcterms:modified xsi:type="dcterms:W3CDTF">2026-10-10T06:19:07Z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