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Political</w:t>
      </w:r>
      <w:r>
        <w:t xml:space="preserve"> </w:t>
      </w:r>
      <w:r>
        <w:t xml:space="preserve">Communication</w:t>
      </w:r>
      <w:r>
        <w:t xml:space="preserve"> </w:t>
      </w:r>
      <w:r>
        <w:t xml:space="preserve">and</w:t>
      </w:r>
      <w:r>
        <w:t xml:space="preserve"> </w:t>
      </w:r>
      <w:r>
        <w:t xml:space="preserve">Civic</w:t>
      </w:r>
      <w:r>
        <w:t xml:space="preserve"> </w:t>
      </w:r>
      <w:r>
        <w:t xml:space="preserve">Engagement</w:t>
      </w:r>
      <w:r>
        <w:t xml:space="preserve"> </w:t>
      </w:r>
      <w:r>
        <w:t xml:space="preserve">in</w:t>
      </w:r>
      <w:r>
        <w:t xml:space="preserve"> </w:t>
      </w:r>
      <w:r>
        <w:t xml:space="preserve">Jeddah</w:t>
      </w:r>
    </w:p>
    <w:bookmarkStart w:id="20" w:name="X0b1ec32d2e89e391086a3be66169f0f55bc0a6a"/>
    <w:p>
      <w:pPr>
        <w:pStyle w:val="Heading1"/>
      </w:pPr>
      <w:r>
        <w:t xml:space="preserve">Experiment Protocol: Digital Political Communication and Civic Engagement in Jeddah</w:t>
      </w:r>
    </w:p>
    <w:p>
      <w:pPr>
        <w:pStyle w:val="FirstParagraph"/>
      </w:pPr>
      <w:r>
        <w:rPr>
          <w:bCs/>
          <w:b/>
        </w:rPr>
        <w:t xml:space="preserve">Protocol ID:</w:t>
      </w:r>
      <w:r>
        <w:t xml:space="preserve"> </w:t>
      </w:r>
      <w:r>
        <w:t xml:space="preserve">SA-JED-POL-2024-01</w:t>
      </w:r>
    </w:p>
    <w:p>
      <w:pPr>
        <w:pStyle w:val="BodyText"/>
      </w:pPr>
      <w:r>
        <w:rPr>
          <w:bCs/>
          <w:b/>
        </w:rPr>
        <w:t xml:space="preserve">Date:</w:t>
      </w:r>
      <w:r>
        <w:t xml:space="preserve"> </w:t>
      </w:r>
      <w:r>
        <w:t xml:space="preserve">October 24, 2024</w:t>
      </w:r>
    </w:p>
    <w:p>
      <w:pPr>
        <w:pStyle w:val="BodyText"/>
      </w:pPr>
      <w:r>
        <w:rPr>
          <w:bCs/>
          <w:b/>
        </w:rPr>
        <w:t xml:space="preserve">Location:</w:t>
      </w:r>
      <w:r>
        <w:t xml:space="preserve"> </w:t>
      </w:r>
      <w:r>
        <w:t xml:space="preserve">Jeddah, Saudi Arabia</w:t>
      </w:r>
    </w:p>
    <w:p>
      <w:pPr>
        <w:pStyle w:val="BodyText"/>
      </w:pPr>
      <w:r>
        <w:rPr>
          <w:bCs/>
          <w:b/>
        </w:rPr>
        <w:t xml:space="preserve">Subject:</w:t>
      </w:r>
      <w:r>
        <w:t xml:space="preserve"> </w:t>
      </w:r>
      <w:r>
        <w:t xml:space="preserve">Analysis of Politician Communication Strategies and Public Response</w:t>
      </w:r>
    </w:p>
    <w:bookmarkEnd w:id="20"/>
    <w:bookmarkStart w:id="21" w:name="introduction-and-background"/>
    <w:p>
      <w:pPr>
        <w:pStyle w:val="Heading2"/>
      </w:pPr>
      <w:r>
        <w:t xml:space="preserve">1. Introduction and Background</w:t>
      </w:r>
    </w:p>
    <w:p>
      <w:pPr>
        <w:pStyle w:val="FirstParagraph"/>
      </w:pPr>
      <w:r>
        <w:t xml:space="preserve">This Experiment Protocol outlines the methodology for a controlled study examining the efficacy of digital communication strategies employed by political figures (hereafter referred to as "Politician") within the specific socio-cultural context of Jeddah, Saudi Arabia. As Saudi Arabia advances its Vision 2030, the role of political leadership in engaging with citizens has evolved significantly. Jeddah, as a major economic and cultural hub, presents a unique environment for observing these dynamics.</w:t>
      </w:r>
    </w:p>
    <w:p>
      <w:pPr>
        <w:pStyle w:val="BodyText"/>
      </w:pPr>
      <w:r>
        <w:t xml:space="preserve">The term "Politician" in this protocol refers to elected or appointed public officials, including members of the Shura Council, municipal leaders, and government representatives active in the Makkah Province. The study aims to quantify how different communication styles impact civic engagement, trust, and policy awareness among residents of Jeddah.</w:t>
      </w:r>
    </w:p>
    <w:bookmarkEnd w:id="21"/>
    <w:bookmarkStart w:id="22" w:name="objectives"/>
    <w:p>
      <w:pPr>
        <w:pStyle w:val="Heading2"/>
      </w:pPr>
      <w:r>
        <w:t xml:space="preserve">2. Objectives</w:t>
      </w:r>
    </w:p>
    <w:p>
      <w:pPr>
        <w:pStyle w:val="FirstParagraph"/>
      </w:pPr>
      <w:r>
        <w:t xml:space="preserve">The primary objectives of this experiment are:</w:t>
      </w:r>
    </w:p>
    <w:p>
      <w:pPr>
        <w:numPr>
          <w:ilvl w:val="0"/>
          <w:numId w:val="1001"/>
        </w:numPr>
        <w:pStyle w:val="Compact"/>
      </w:pPr>
      <w:r>
        <w:t xml:space="preserve">To measure the engagement levels of Jeddah residents in response to varying communication tones (formal vs. conversational) used by a Politician.</w:t>
      </w:r>
    </w:p>
    <w:p>
      <w:pPr>
        <w:numPr>
          <w:ilvl w:val="0"/>
          <w:numId w:val="1001"/>
        </w:numPr>
        <w:pStyle w:val="Compact"/>
      </w:pPr>
      <w:r>
        <w:t xml:space="preserve">To assess the impact of platform-specific content (Twitter/X, Snapchat, Instagram) on the perceived accessibility of the Politician.</w:t>
      </w:r>
    </w:p>
    <w:p>
      <w:pPr>
        <w:numPr>
          <w:ilvl w:val="0"/>
          <w:numId w:val="1001"/>
        </w:numPr>
        <w:pStyle w:val="Compact"/>
      </w:pPr>
      <w:r>
        <w:t xml:space="preserve">To evaluate the correlation between digital transparency initiatives and public trust in local governance within Saudi Arabia.</w:t>
      </w:r>
    </w:p>
    <w:p>
      <w:pPr>
        <w:numPr>
          <w:ilvl w:val="0"/>
          <w:numId w:val="1001"/>
        </w:numPr>
        <w:pStyle w:val="Compact"/>
      </w:pPr>
      <w:r>
        <w:t xml:space="preserve">To identify demographic segments in Jeddah that are most responsive to direct political communication.</w:t>
      </w:r>
    </w:p>
    <w:bookmarkEnd w:id="22"/>
    <w:bookmarkStart w:id="23" w:name="ethical-considerations-and-compliance"/>
    <w:p>
      <w:pPr>
        <w:pStyle w:val="Heading2"/>
      </w:pPr>
      <w:r>
        <w:t xml:space="preserve">3. Ethical Considerations and Compliance</w:t>
      </w:r>
    </w:p>
    <w:p>
      <w:pPr>
        <w:pStyle w:val="FirstParagraph"/>
      </w:pPr>
      <w:r>
        <w:t xml:space="preserve">This study strictly adheres to the ethical guidelines set forth by the Saudi Commission for Health Specialties (if applicable to health-related policy) and the Ministry of Communications and Information Technology (MCIT). All data collection will comply with the Personal Data Protection Law (PDPL) of Saudi Arabia.</w:t>
      </w:r>
    </w:p>
    <w:p>
      <w:pPr>
        <w:pStyle w:val="BodyText"/>
      </w:pPr>
      <w:r>
        <w:rPr>
          <w:bCs/>
          <w:b/>
        </w:rPr>
        <w:t xml:space="preserve">Informed Consent:</w:t>
      </w:r>
      <w:r>
        <w:t xml:space="preserve"> </w:t>
      </w:r>
      <w:r>
        <w:t xml:space="preserve">All participants will provide explicit digital consent before engaging with the experimental stimuli. No sensitive personal data will be collected without authorization.</w:t>
      </w:r>
    </w:p>
    <w:p>
      <w:pPr>
        <w:pStyle w:val="BodyText"/>
      </w:pPr>
      <w:r>
        <w:t xml:space="preserve">The experiment ensures neutrality and does not aim to influence electoral outcomes or political affiliation, respecting the constitutional framework of Saudi Arabia.</w:t>
      </w:r>
    </w:p>
    <w:bookmarkEnd w:id="23"/>
    <w:bookmarkStart w:id="28" w:name="methodology"/>
    <w:p>
      <w:pPr>
        <w:pStyle w:val="Heading2"/>
      </w:pPr>
      <w:r>
        <w:t xml:space="preserve">4. Methodology</w:t>
      </w:r>
    </w:p>
    <w:bookmarkStart w:id="24" w:name="study-design"/>
    <w:p>
      <w:pPr>
        <w:pStyle w:val="Heading3"/>
      </w:pPr>
      <w:r>
        <w:t xml:space="preserve">4.1 Study Design</w:t>
      </w:r>
    </w:p>
    <w:p>
      <w:pPr>
        <w:pStyle w:val="FirstParagraph"/>
      </w:pPr>
      <w:r>
        <w:t xml:space="preserve">The experiment utilizes a randomized controlled trial (RCT) design. Participants from Jeddah will be randomly assigned to one of three groups, each exposed to a different communication strategy from a simulated or anonymized Politician profile.</w:t>
      </w:r>
    </w:p>
    <w:bookmarkEnd w:id="24"/>
    <w:bookmarkStart w:id="25" w:name="participants"/>
    <w:p>
      <w:pPr>
        <w:pStyle w:val="Heading3"/>
      </w:pPr>
      <w:r>
        <w:t xml:space="preserve">4.2 Participants</w:t>
      </w:r>
    </w:p>
    <w:p>
      <w:pPr>
        <w:pStyle w:val="FirstParagraph"/>
      </w:pPr>
      <w:r>
        <w:t xml:space="preserve">The target population consists of Saudi citizens residing in Jeddah, aged 18 to 65. A sample size of 1,500 participants will be recruited to ensure statistical significance. Recruitment will be conducted via digital platforms popular in the region, ensuring a diverse representation of genders and socioeconomic backgrounds.</w:t>
      </w:r>
    </w:p>
    <w:bookmarkEnd w:id="25"/>
    <w:bookmarkStart w:id="26" w:name="variables"/>
    <w:p>
      <w:pPr>
        <w:pStyle w:val="Heading3"/>
      </w:pPr>
      <w:r>
        <w:t xml:space="preserve">4.3 Variables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Variable Type</w:t>
            </w:r>
          </w:p>
        </w:tc>
        <w:tc>
          <w:tcPr/>
          <w:p>
            <w:pPr>
              <w:pStyle w:val="Compact"/>
              <w:jc w:val="left"/>
            </w:pPr>
            <w:r>
              <w:t xml:space="preserve">Description</w:t>
            </w:r>
          </w:p>
        </w:tc>
      </w:tr>
      <w:tr>
        <w:tc>
          <w:tcPr/>
          <w:p>
            <w:pPr>
              <w:pStyle w:val="Compact"/>
              <w:jc w:val="left"/>
            </w:pPr>
            <w:r>
              <w:t xml:space="preserve">Independent Variable</w:t>
            </w:r>
          </w:p>
        </w:tc>
        <w:tc>
          <w:tcPr/>
          <w:p>
            <w:pPr>
              <w:pStyle w:val="Compact"/>
              <w:jc w:val="left"/>
            </w:pPr>
            <w:r>
              <w:t xml:space="preserve">Communication Style of the Politician (Formal/Official, Conversational/Relatable, Visual/Multimedia).</w:t>
            </w:r>
          </w:p>
        </w:tc>
      </w:tr>
      <w:tr>
        <w:tc>
          <w:tcPr/>
          <w:p>
            <w:pPr>
              <w:pStyle w:val="Compact"/>
              <w:jc w:val="left"/>
            </w:pPr>
            <w:r>
              <w:t xml:space="preserve">Dependent Variable</w:t>
            </w:r>
          </w:p>
        </w:tc>
        <w:tc>
          <w:tcPr/>
          <w:p>
            <w:pPr>
              <w:pStyle w:val="Compact"/>
              <w:jc w:val="left"/>
            </w:pPr>
            <w:r>
              <w:t xml:space="preserve">Level of Civic Engagement (measured by clicks, shares, comments, and survey responses).</w:t>
            </w:r>
          </w:p>
        </w:tc>
      </w:tr>
      <w:tr>
        <w:tc>
          <w:tcPr/>
          <w:p>
            <w:pPr>
              <w:pStyle w:val="Compact"/>
              <w:jc w:val="left"/>
            </w:pPr>
            <w:r>
              <w:t xml:space="preserve">Control Variables</w:t>
            </w:r>
          </w:p>
        </w:tc>
        <w:tc>
          <w:tcPr/>
          <w:p>
            <w:pPr>
              <w:pStyle w:val="Compact"/>
              <w:jc w:val="left"/>
            </w:pPr>
            <w:r>
              <w:t xml:space="preserve">Time of posting, topic of the message (e.g., infrastructure, education), and platform used.</w:t>
            </w:r>
          </w:p>
        </w:tc>
      </w:tr>
    </w:tbl>
    <w:bookmarkEnd w:id="26"/>
    <w:bookmarkStart w:id="27" w:name="procedure"/>
    <w:p>
      <w:pPr>
        <w:pStyle w:val="Heading3"/>
      </w:pPr>
      <w:r>
        <w:t xml:space="preserve">4.4 Procedure</w:t>
      </w:r>
    </w:p>
    <w:p>
      <w:pPr>
        <w:numPr>
          <w:ilvl w:val="0"/>
          <w:numId w:val="1002"/>
        </w:numPr>
        <w:pStyle w:val="Compact"/>
      </w:pPr>
      <w:r>
        <w:rPr>
          <w:bCs/>
          <w:b/>
        </w:rPr>
        <w:t xml:space="preserve">Recruitment:</w:t>
      </w:r>
      <w:r>
        <w:t xml:space="preserve"> </w:t>
      </w:r>
      <w:r>
        <w:t xml:space="preserve">Participants are recruited through targeted digital ads in Jeddah.</w:t>
      </w:r>
    </w:p>
    <w:p>
      <w:pPr>
        <w:numPr>
          <w:ilvl w:val="0"/>
          <w:numId w:val="1002"/>
        </w:numPr>
        <w:pStyle w:val="Compact"/>
      </w:pPr>
      <w:r>
        <w:rPr>
          <w:bCs/>
          <w:b/>
        </w:rPr>
        <w:t xml:space="preserve">Randomization:</w:t>
      </w:r>
      <w:r>
        <w:t xml:space="preserve"> </w:t>
      </w:r>
      <w:r>
        <w:t xml:space="preserve">Participants are assigned to Group A (Formal), Group B (Conversational), or Group C (Visual).</w:t>
      </w:r>
    </w:p>
    <w:p>
      <w:pPr>
        <w:numPr>
          <w:ilvl w:val="0"/>
          <w:numId w:val="1002"/>
        </w:numPr>
        <w:pStyle w:val="Compact"/>
      </w:pPr>
      <w:r>
        <w:rPr>
          <w:bCs/>
          <w:b/>
        </w:rPr>
        <w:t xml:space="preserve">Exposure:</w:t>
      </w:r>
      <w:r>
        <w:t xml:space="preserve"> </w:t>
      </w:r>
      <w:r>
        <w:t xml:space="preserve">Over a period of four weeks, participants follow a dedicated account representing the Politician. The content is tailored to their assigned group.</w:t>
      </w:r>
    </w:p>
    <w:p>
      <w:pPr>
        <w:numPr>
          <w:ilvl w:val="0"/>
          <w:numId w:val="1002"/>
        </w:numPr>
        <w:pStyle w:val="Compact"/>
      </w:pPr>
      <w:r>
        <w:rPr>
          <w:bCs/>
          <w:b/>
        </w:rPr>
        <w:t xml:space="preserve">Data Collection:</w:t>
      </w:r>
      <w:r>
        <w:t xml:space="preserve"> </w:t>
      </w:r>
      <w:r>
        <w:t xml:space="preserve">Engagement metrics are tracked automatically. Post-experiment surveys are distributed to gauge sentiment and trust.</w:t>
      </w:r>
    </w:p>
    <w:bookmarkEnd w:id="27"/>
    <w:bookmarkEnd w:id="28"/>
    <w:bookmarkStart w:id="29" w:name="data-analysis"/>
    <w:p>
      <w:pPr>
        <w:pStyle w:val="Heading2"/>
      </w:pPr>
      <w:r>
        <w:t xml:space="preserve">5. Data Analysis</w:t>
      </w:r>
    </w:p>
    <w:p>
      <w:pPr>
        <w:pStyle w:val="FirstParagraph"/>
      </w:pPr>
      <w:r>
        <w:t xml:space="preserve">Quantitative data will be analyzed using statistical software (e.g., SPSS or R) to determine significant differences in engagement metrics across the three groups. Qualitative data from comments and open-ended survey questions will undergo thematic analysis to understand the nuances of public perception in Jeddah.</w:t>
      </w:r>
    </w:p>
    <w:p>
      <w:pPr>
        <w:pStyle w:val="BodyText"/>
      </w:pPr>
      <w:r>
        <w:t xml:space="preserve">Special attention will be paid to cultural nuances specific to Saudi Arabia, such as the importance of respect for authority and the growing demand for transparency among younger demographics.</w:t>
      </w:r>
    </w:p>
    <w:bookmarkEnd w:id="29"/>
    <w:bookmarkStart w:id="30" w:name="expected-outcomes"/>
    <w:p>
      <w:pPr>
        <w:pStyle w:val="Heading2"/>
      </w:pPr>
      <w:r>
        <w:t xml:space="preserve">6. Expected Outcomes</w:t>
      </w:r>
    </w:p>
    <w:p>
      <w:pPr>
        <w:pStyle w:val="FirstParagraph"/>
      </w:pPr>
      <w:r>
        <w:t xml:space="preserve">This experiment anticipates that:</w:t>
      </w:r>
    </w:p>
    <w:p>
      <w:pPr>
        <w:numPr>
          <w:ilvl w:val="0"/>
          <w:numId w:val="1003"/>
        </w:numPr>
        <w:pStyle w:val="Compact"/>
      </w:pPr>
      <w:r>
        <w:t xml:space="preserve">Conversational and visually rich content will yield higher engagement rates among younger residents of Jeddah.</w:t>
      </w:r>
    </w:p>
    <w:p>
      <w:pPr>
        <w:numPr>
          <w:ilvl w:val="0"/>
          <w:numId w:val="1003"/>
        </w:numPr>
        <w:pStyle w:val="Compact"/>
      </w:pPr>
      <w:r>
        <w:t xml:space="preserve">Formal communication will maintain higher trust levels among older demographics.</w:t>
      </w:r>
    </w:p>
    <w:p>
      <w:pPr>
        <w:numPr>
          <w:ilvl w:val="0"/>
          <w:numId w:val="1003"/>
        </w:numPr>
        <w:pStyle w:val="Compact"/>
      </w:pPr>
      <w:r>
        <w:t xml:space="preserve">Direct interaction (Q&amp;A sessions) by the Politician will significantly increase perceived accessibility.</w:t>
      </w:r>
    </w:p>
    <w:bookmarkEnd w:id="30"/>
    <w:bookmarkStart w:id="31" w:name="timeline"/>
    <w:p>
      <w:pPr>
        <w:pStyle w:val="Heading2"/>
      </w:pPr>
      <w:r>
        <w:t xml:space="preserve">7. Timeline</w:t>
      </w:r>
    </w:p>
    <w:p>
      <w:pPr>
        <w:numPr>
          <w:ilvl w:val="0"/>
          <w:numId w:val="1004"/>
        </w:numPr>
        <w:pStyle w:val="Compact"/>
      </w:pPr>
      <w:r>
        <w:rPr>
          <w:bCs/>
          <w:b/>
        </w:rPr>
        <w:t xml:space="preserve">Month 1:</w:t>
      </w:r>
      <w:r>
        <w:t xml:space="preserve"> </w:t>
      </w:r>
      <w:r>
        <w:t xml:space="preserve">Protocol approval, ethical clearance, and platform setup.</w:t>
      </w:r>
    </w:p>
    <w:p>
      <w:pPr>
        <w:numPr>
          <w:ilvl w:val="0"/>
          <w:numId w:val="1004"/>
        </w:numPr>
        <w:pStyle w:val="Compact"/>
      </w:pPr>
      <w:r>
        <w:rPr>
          <w:bCs/>
          <w:b/>
        </w:rPr>
        <w:t xml:space="preserve">Month 2:</w:t>
      </w:r>
      <w:r>
        <w:t xml:space="preserve"> </w:t>
      </w:r>
      <w:r>
        <w:t xml:space="preserve">Participant recruitment and randomization.</w:t>
      </w:r>
    </w:p>
    <w:p>
      <w:pPr>
        <w:numPr>
          <w:ilvl w:val="0"/>
          <w:numId w:val="1004"/>
        </w:numPr>
        <w:pStyle w:val="Compact"/>
      </w:pPr>
      <w:r>
        <w:rPr>
          <w:bCs/>
          <w:b/>
        </w:rPr>
        <w:t xml:space="preserve">Months 3-4:</w:t>
      </w:r>
      <w:r>
        <w:t xml:space="preserve"> </w:t>
      </w:r>
      <w:r>
        <w:t xml:space="preserve">Experiment execution and data collection.</w:t>
      </w:r>
    </w:p>
    <w:p>
      <w:pPr>
        <w:numPr>
          <w:ilvl w:val="0"/>
          <w:numId w:val="1004"/>
        </w:numPr>
        <w:pStyle w:val="Compact"/>
      </w:pPr>
      <w:r>
        <w:rPr>
          <w:bCs/>
          <w:b/>
        </w:rPr>
        <w:t xml:space="preserve">Month 5:</w:t>
      </w:r>
      <w:r>
        <w:t xml:space="preserve"> </w:t>
      </w:r>
      <w:r>
        <w:t xml:space="preserve">Data analysis and report generation.</w:t>
      </w:r>
    </w:p>
    <w:bookmarkEnd w:id="31"/>
    <w:bookmarkStart w:id="32" w:name="conclusion"/>
    <w:p>
      <w:pPr>
        <w:pStyle w:val="Heading2"/>
      </w:pPr>
      <w:r>
        <w:t xml:space="preserve">8. Conclusion</w:t>
      </w:r>
    </w:p>
    <w:p>
      <w:pPr>
        <w:pStyle w:val="FirstParagraph"/>
      </w:pPr>
      <w:r>
        <w:t xml:space="preserve">This Experiment Protocol provides a rigorous framework for understanding the intersection of political communication and public engagement in Jeddah. By focusing on the specific role of the Politician in the digital age, this study contributes valuable insights to the broader discourse on governance and civic participation in Saudi Arabia.</w:t>
      </w:r>
    </w:p>
    <w:bookmarkEnd w:id="32"/>
    <w:p>
      <w:pPr>
        <w:pStyle w:val="BodyText"/>
      </w:pPr>
      <w:r>
        <w:t xml:space="preserve">Document prepared for academic and research purposes. All rights reserved.</w:t>
      </w:r>
    </w:p>
    <w:p>
      <w:pPr>
        <w:pStyle w:val="BodyText"/>
      </w:pPr>
      <w:r>
        <w:t xml:space="preserve">End of Protocol.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Political Communication and Civic Engagement in Jeddah</dc:title>
  <dc:creator/>
  <dc:language>en</dc:language>
  <cp:keywords/>
  <dcterms:created xsi:type="dcterms:W3CDTF">2026-10-10T11:30:47Z</dcterms:created>
  <dcterms:modified xsi:type="dcterms:W3CDTF">2026-10-10T11:30:47Z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