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Accountability</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Cape</w:t>
      </w:r>
      <w:r>
        <w:t xml:space="preserve"> </w:t>
      </w:r>
      <w:r>
        <w:t xml:space="preserve">Town</w:t>
      </w:r>
    </w:p>
    <w:bookmarkStart w:id="31" w:name="X1e670029100308c053ea130c919b9ec8028436e"/>
    <w:p>
      <w:pPr>
        <w:pStyle w:val="Heading1"/>
      </w:pPr>
      <w:r>
        <w:t xml:space="preserve">Experiment Protocol: Enhancing Political Accountability and Civic Engagement in Cape Town, South Africa</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impact of digital transparency tools on the behavior of local politicians and the engagement levels of citizens in Cape Town, South Africa. Cape Town, as the legislative capital of South Africa and a major economic hub, presents a unique environment for studying democratic processes. The city faces complex challenges, including service delivery, housing, and inequality, which require effective governance and active citizen participation.</w:t>
      </w:r>
    </w:p>
    <w:p>
      <w:pPr>
        <w:pStyle w:val="BodyText"/>
      </w:pPr>
      <w:r>
        <w:t xml:space="preserve">The central hypothesis of this experiment is that providing real-time, accessible data on a politician's voting record, attendance, and constituency service activities will significantly increase their accountability and, consequently, boost civic engagement among residents. This protocol adheres to the ethical standards set by the South African National Health Research Ethics Committee (SAHREC) and local municipal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correlation between digital transparency platforms and the attendance rates of Cape Town City Council members.</w:t>
      </w:r>
    </w:p>
    <w:p>
      <w:pPr>
        <w:numPr>
          <w:ilvl w:val="0"/>
          <w:numId w:val="1001"/>
        </w:numPr>
        <w:pStyle w:val="Compact"/>
      </w:pPr>
      <w:r>
        <w:t xml:space="preserve">To assess changes in voter turnout and civic participation in selected wards following the implementation of the transparency tool.</w:t>
      </w:r>
    </w:p>
    <w:p>
      <w:pPr>
        <w:numPr>
          <w:ilvl w:val="0"/>
          <w:numId w:val="1001"/>
        </w:numPr>
        <w:pStyle w:val="Compact"/>
      </w:pPr>
      <w:r>
        <w:t xml:space="preserve">To analyze the sentiment and feedback of Cape Town residents regarding their local politicians when provided with granular performance data.</w:t>
      </w:r>
    </w:p>
    <w:p>
      <w:pPr>
        <w:numPr>
          <w:ilvl w:val="0"/>
          <w:numId w:val="1001"/>
        </w:numPr>
        <w:pStyle w:val="Compact"/>
      </w:pPr>
      <w:r>
        <w:t xml:space="preserve">To determine if increased scrutiny leads to improved service delivery outcomes in targeted areas.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We will select 20 wards within the City of Cape Town Metropolitan Municipality. Ten wards will be designated as the "Intervention Group," where the digital transparency tool will be actively promoted and utilized. The remaining ten wards will serve as the "Control Group," where standard information channels will remain unchanged.</w:t>
      </w:r>
    </w:p>
    <w:bookmarkEnd w:id="22"/>
    <w:bookmarkStart w:id="23"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rPr>
          <w:bCs/>
          <w:b/>
        </w:rPr>
        <w:t xml:space="preserve">Politicians:</w:t>
      </w:r>
      <w:r>
        <w:t xml:space="preserve"> </w:t>
      </w:r>
      <w:r>
        <w:t xml:space="preserve">Ward Councillors and Portfolio Committee members representing the selected wards.</w:t>
      </w:r>
    </w:p>
    <w:p>
      <w:pPr>
        <w:numPr>
          <w:ilvl w:val="0"/>
          <w:numId w:val="1002"/>
        </w:numPr>
        <w:pStyle w:val="Compact"/>
      </w:pPr>
      <w:r>
        <w:rPr>
          <w:bCs/>
          <w:b/>
        </w:rPr>
        <w:t xml:space="preserve">Citizens:</w:t>
      </w:r>
      <w:r>
        <w:t xml:space="preserve"> </w:t>
      </w:r>
      <w:r>
        <w:t xml:space="preserve">Registered voters residing in the selected wards, with a focus on diverse demographics to reflect Cape Town's multicultural society.</w:t>
      </w:r>
    </w:p>
    <w:bookmarkEnd w:id="23"/>
    <w:bookmarkStart w:id="24" w:name="intervention"/>
    <w:p>
      <w:pPr>
        <w:pStyle w:val="Heading3"/>
      </w:pPr>
      <w:r>
        <w:t xml:space="preserve">3.3 Intervention</w:t>
      </w:r>
    </w:p>
    <w:p>
      <w:pPr>
        <w:pStyle w:val="FirstParagraph"/>
      </w:pPr>
      <w:r>
        <w:rPr>
          <w:bCs/>
          <w:b/>
        </w:rPr>
        <w:t xml:space="preserve">The Transparency Platform:</w:t>
      </w:r>
      <w:r>
        <w:t xml:space="preserve"> </w:t>
      </w:r>
      <w:r>
        <w:t xml:space="preserve">A mobile-friendly web application and SMS service will be deployed in the Intervention Group. This platform will provide:</w:t>
      </w:r>
    </w:p>
    <w:p>
      <w:pPr>
        <w:numPr>
          <w:ilvl w:val="0"/>
          <w:numId w:val="1003"/>
        </w:numPr>
        <w:pStyle w:val="Compact"/>
      </w:pPr>
      <w:r>
        <w:t xml:space="preserve">Live updates on council meeting attendance.</w:t>
      </w:r>
    </w:p>
    <w:p>
      <w:pPr>
        <w:numPr>
          <w:ilvl w:val="0"/>
          <w:numId w:val="1003"/>
        </w:numPr>
        <w:pStyle w:val="Compact"/>
      </w:pPr>
      <w:r>
        <w:t xml:space="preserve">Summaries of voting records on key municipal issues.</w:t>
      </w:r>
    </w:p>
    <w:p>
      <w:pPr>
        <w:numPr>
          <w:ilvl w:val="0"/>
          <w:numId w:val="1003"/>
        </w:numPr>
        <w:pStyle w:val="Compact"/>
      </w:pPr>
      <w:r>
        <w:t xml:space="preserve">A direct, anonymous feedback channel for constituents to report issues and track responses.</w:t>
      </w:r>
    </w:p>
    <w:p>
      <w:pPr>
        <w:pStyle w:val="FirstParagraph"/>
      </w:pPr>
      <w:r>
        <w:t xml:space="preserve">Community workshops will be held in the Intervention Group wards to educate residents on how to use the tool and understand their rights as citizens in the South African democratic framework.</w:t>
      </w:r>
    </w:p>
    <w:bookmarkEnd w:id="24"/>
    <w:bookmarkEnd w:id="25"/>
    <w:bookmarkStart w:id="26" w:name="data-collection"/>
    <w:p>
      <w:pPr>
        <w:pStyle w:val="Heading2"/>
      </w:pPr>
      <w:r>
        <w:t xml:space="preserve">4. Data Collection</w:t>
      </w:r>
    </w:p>
    <w:p>
      <w:pPr>
        <w:pStyle w:val="FirstParagraph"/>
      </w:pPr>
      <w:r>
        <w:t xml:space="preserve">Data will be collected over a period of 12 months, covering two full municipal council cycles. The following metrics will be tracked:</w:t>
      </w:r>
    </w:p>
    <w:p>
      <w:pPr>
        <w:numPr>
          <w:ilvl w:val="0"/>
          <w:numId w:val="1004"/>
        </w:numPr>
        <w:pStyle w:val="Compact"/>
      </w:pPr>
      <w:r>
        <w:rPr>
          <w:bCs/>
          <w:b/>
        </w:rPr>
        <w:t xml:space="preserve">Quantitative Data:</w:t>
      </w:r>
      <w:r>
        <w:t xml:space="preserve"> </w:t>
      </w:r>
      <w:r>
        <w:t xml:space="preserve">Attendance logs from council meetings, number of service delivery tickets raised and resolved, voter registration changes, and app usage statistics.</w:t>
      </w:r>
    </w:p>
    <w:p>
      <w:pPr>
        <w:numPr>
          <w:ilvl w:val="0"/>
          <w:numId w:val="1004"/>
        </w:numPr>
        <w:pStyle w:val="Compact"/>
      </w:pPr>
      <w:r>
        <w:rPr>
          <w:bCs/>
          <w:b/>
        </w:rPr>
        <w:t xml:space="preserve">Qualitative Data:</w:t>
      </w:r>
      <w:r>
        <w:t xml:space="preserve"> </w:t>
      </w:r>
      <w:r>
        <w:t xml:space="preserve">Surveys and focus group discussions with citizens to gauge their perception of trust in local government. Interviews with politicians to understand their experience with increased transparency.</w:t>
      </w:r>
    </w:p>
    <w:p>
      <w:pPr>
        <w:pStyle w:val="FirstParagraph"/>
      </w:pPr>
      <w:r>
        <w:t xml:space="preserve">All data collection instruments will be translated into the primary languages spoken in Cape Town, including English, Afrikaans, isiXhosa, and Sesotho, to ensure inclusivity.</w:t>
      </w:r>
    </w:p>
    <w:bookmarkEnd w:id="26"/>
    <w:bookmarkStart w:id="27" w:name="ethical-considerations"/>
    <w:p>
      <w:pPr>
        <w:pStyle w:val="Heading2"/>
      </w:pPr>
      <w:r>
        <w:t xml:space="preserve">5. Ethical Considerations</w:t>
      </w:r>
    </w:p>
    <w:p>
      <w:pPr>
        <w:pStyle w:val="FirstParagraph"/>
      </w:pPr>
      <w:r>
        <w:t xml:space="preserve">Given the sensitive nature of political research in South Africa, strict ethical guidelines will be followed:</w:t>
      </w:r>
    </w:p>
    <w:p>
      <w:pPr>
        <w:numPr>
          <w:ilvl w:val="0"/>
          <w:numId w:val="1005"/>
        </w:numPr>
        <w:pStyle w:val="Compact"/>
      </w:pPr>
      <w:r>
        <w:rPr>
          <w:bCs/>
          <w:b/>
        </w:rPr>
        <w:t xml:space="preserve">Informed Consent:</w:t>
      </w:r>
      <w:r>
        <w:t xml:space="preserve"> </w:t>
      </w:r>
      <w:r>
        <w:t xml:space="preserve">All participants, including politicians and citizens, will provide informed consent before participating in surveys or interviews.</w:t>
      </w:r>
    </w:p>
    <w:p>
      <w:pPr>
        <w:numPr>
          <w:ilvl w:val="0"/>
          <w:numId w:val="1005"/>
        </w:numPr>
        <w:pStyle w:val="Compact"/>
      </w:pPr>
      <w:r>
        <w:rPr>
          <w:bCs/>
          <w:b/>
        </w:rPr>
        <w:t xml:space="preserve">Confidentiality:</w:t>
      </w:r>
      <w:r>
        <w:t xml:space="preserve"> </w:t>
      </w:r>
      <w:r>
        <w:t xml:space="preserve">Personal data of citizens will be anonymized to protect privacy, in compliance with the Protection of Personal Information Act (POPIA).</w:t>
      </w:r>
    </w:p>
    <w:p>
      <w:pPr>
        <w:numPr>
          <w:ilvl w:val="0"/>
          <w:numId w:val="1005"/>
        </w:numPr>
        <w:pStyle w:val="Compact"/>
      </w:pPr>
      <w:r>
        <w:rPr>
          <w:bCs/>
          <w:b/>
        </w:rPr>
        <w:t xml:space="preserve">Neutrality:</w:t>
      </w:r>
      <w:r>
        <w:t xml:space="preserve"> </w:t>
      </w:r>
      <w:r>
        <w:t xml:space="preserve">The research team will maintain political neutrality, ensuring that the tool does not favor any specific political party represented in the Cape Town City Council.</w:t>
      </w:r>
    </w:p>
    <w:p>
      <w:pPr>
        <w:numPr>
          <w:ilvl w:val="0"/>
          <w:numId w:val="1005"/>
        </w:numPr>
        <w:pStyle w:val="Compact"/>
      </w:pPr>
      <w:r>
        <w:rPr>
          <w:bCs/>
          <w:b/>
        </w:rPr>
        <w:t xml:space="preserve">Do No Harm:</w:t>
      </w:r>
      <w:r>
        <w:t xml:space="preserve"> </w:t>
      </w:r>
      <w:r>
        <w:t xml:space="preserve">Protocols will be in place to prevent harassment of politicians or citizens resulting from the use of the feedback channels.</w:t>
      </w:r>
    </w:p>
    <w:bookmarkEnd w:id="27"/>
    <w:bookmarkStart w:id="28" w:name="timeline"/>
    <w:p>
      <w:pPr>
        <w:pStyle w:val="Heading2"/>
      </w:pPr>
      <w:r>
        <w:t xml:space="preserve">6. Timeline</w:t>
      </w:r>
    </w:p>
    <w:p>
      <w:pPr>
        <w:numPr>
          <w:ilvl w:val="0"/>
          <w:numId w:val="1006"/>
        </w:numPr>
        <w:pStyle w:val="Compact"/>
      </w:pPr>
      <w:r>
        <w:rPr>
          <w:bCs/>
          <w:b/>
        </w:rPr>
        <w:t xml:space="preserve">Months 1-2:</w:t>
      </w:r>
      <w:r>
        <w:t xml:space="preserve"> </w:t>
      </w:r>
      <w:r>
        <w:t xml:space="preserve">Ethical approval, stakeholder engagement, and platform development.</w:t>
      </w:r>
    </w:p>
    <w:p>
      <w:pPr>
        <w:numPr>
          <w:ilvl w:val="0"/>
          <w:numId w:val="1006"/>
        </w:numPr>
        <w:pStyle w:val="Compact"/>
      </w:pPr>
      <w:r>
        <w:rPr>
          <w:bCs/>
          <w:b/>
        </w:rPr>
        <w:t xml:space="preserve">Month 3:</w:t>
      </w:r>
      <w:r>
        <w:t xml:space="preserve"> </w:t>
      </w:r>
      <w:r>
        <w:t xml:space="preserve">Baseline data collection and community workshops in Intervention Group wards.</w:t>
      </w:r>
    </w:p>
    <w:p>
      <w:pPr>
        <w:numPr>
          <w:ilvl w:val="0"/>
          <w:numId w:val="1006"/>
        </w:numPr>
        <w:pStyle w:val="Compact"/>
      </w:pPr>
      <w:r>
        <w:rPr>
          <w:bCs/>
          <w:b/>
        </w:rPr>
        <w:t xml:space="preserve">Months 4-11:</w:t>
      </w:r>
      <w:r>
        <w:t xml:space="preserve"> </w:t>
      </w:r>
      <w:r>
        <w:t xml:space="preserve">Active intervention period and continuous data monitoring.</w:t>
      </w:r>
    </w:p>
    <w:p>
      <w:pPr>
        <w:numPr>
          <w:ilvl w:val="0"/>
          <w:numId w:val="1006"/>
        </w:numPr>
        <w:pStyle w:val="Compact"/>
      </w:pPr>
      <w:r>
        <w:rPr>
          <w:bCs/>
          <w:b/>
        </w:rPr>
        <w:t xml:space="preserve">Month 12:</w:t>
      </w:r>
      <w:r>
        <w:t xml:space="preserve"> </w:t>
      </w:r>
      <w:r>
        <w:t xml:space="preserve">Final data collection, analysis, and reporting.</w:t>
      </w:r>
    </w:p>
    <w:bookmarkEnd w:id="28"/>
    <w:bookmarkStart w:id="29" w:name="expected-outcomes-and-impact"/>
    <w:p>
      <w:pPr>
        <w:pStyle w:val="Heading2"/>
      </w:pPr>
      <w:r>
        <w:t xml:space="preserve">7. Expected Outcomes and Impact</w:t>
      </w:r>
    </w:p>
    <w:p>
      <w:pPr>
        <w:pStyle w:val="FirstParagraph"/>
      </w:pPr>
      <w:r>
        <w:t xml:space="preserve">We anticipate that the Intervention Group will show a statistically significant increase in councillor attendance and responsiveness compared to the Control Group. Furthermore, we expect to see higher levels of civic engagement, as citizens feel more empowered to hold their representatives accountable.</w:t>
      </w:r>
    </w:p>
    <w:p>
      <w:pPr>
        <w:pStyle w:val="BodyText"/>
      </w:pPr>
      <w:r>
        <w:t xml:space="preserve">The findings of this experiment will contribute to the broader discourse on democratic innovation in South Africa. If successful, the model could be scaled to other municipalities across the country, strengthening local governance and fostering a more active citizenry in Cape Town and beyond.</w:t>
      </w:r>
    </w:p>
    <w:bookmarkEnd w:id="29"/>
    <w:bookmarkStart w:id="30" w:name="conclusion"/>
    <w:p>
      <w:pPr>
        <w:pStyle w:val="Heading2"/>
      </w:pPr>
      <w:r>
        <w:t xml:space="preserve">8. Conclusion</w:t>
      </w:r>
    </w:p>
    <w:p>
      <w:pPr>
        <w:pStyle w:val="FirstParagraph"/>
      </w:pPr>
      <w:r>
        <w:t xml:space="preserve">This Experiment Protocol provides a comprehensive framework for investigating the relationship between transparency, political accountability, and civic engagement in Cape Town. By leveraging technology and community involvement, this study aims to offer actionable insights that can enhance the quality of democracy in South Africa's legislative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Accountability and Civic Engagement in Cape Town</dc:title>
  <dc:creator/>
  <dc:language>en</dc:language>
  <cp:keywords/>
  <dcterms:created xsi:type="dcterms:W3CDTF">2026-10-10T07:35:59Z</dcterms:created>
  <dcterms:modified xsi:type="dcterms:W3CDTF">2026-10-10T07:35:59Z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