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Engagement</w:t>
      </w:r>
      <w:r>
        <w:t xml:space="preserve"> </w:t>
      </w:r>
      <w:r>
        <w:t xml:space="preserve">in</w:t>
      </w:r>
      <w:r>
        <w:t xml:space="preserve"> </w:t>
      </w:r>
      <w:r>
        <w:t xml:space="preserve">San</w:t>
      </w:r>
      <w:r>
        <w:t xml:space="preserve"> </w:t>
      </w:r>
      <w:r>
        <w:t xml:space="preserve">Francisco</w:t>
      </w:r>
    </w:p>
    <w:bookmarkStart w:id="20" w:name="Xe20545a1214805aa7c019814a70d49d79183cff"/>
    <w:p>
      <w:pPr>
        <w:pStyle w:val="Heading1"/>
      </w:pPr>
      <w:r>
        <w:t xml:space="preserve">Experiment Protocol: Assessing the Impact of Direct Constituent Engagement on Policy Prioritization by Politicians in United States San Francisco</w:t>
      </w:r>
    </w:p>
    <w:p>
      <w:pPr>
        <w:pStyle w:val="FirstParagraph"/>
      </w:pPr>
      <w:r>
        <w:rPr>
          <w:bCs/>
          <w:b/>
        </w:rPr>
        <w:t xml:space="preserve">Protocol ID:</w:t>
      </w:r>
      <w:r>
        <w:t xml:space="preserve"> </w:t>
      </w:r>
      <w:r>
        <w:t xml:space="preserve">SF-PE-2024-001</w:t>
      </w:r>
      <w:r>
        <w:br/>
      </w:r>
      <w:r>
        <w:rPr>
          <w:bCs/>
          <w:b/>
        </w:rPr>
        <w:t xml:space="preserve">Date:</w:t>
      </w:r>
      <w:r>
        <w:t xml:space="preserve"> </w:t>
      </w:r>
      <w:r>
        <w:t xml:space="preserve">October 26, 2023</w:t>
      </w:r>
      <w:r>
        <w:br/>
      </w:r>
      <w:r>
        <w:rPr>
          <w:bCs/>
          <w:b/>
        </w:rPr>
        <w:t xml:space="preserve">Location:</w:t>
      </w:r>
      <w:r>
        <w:t xml:space="preserve"> </w:t>
      </w:r>
      <w:r>
        <w:t xml:space="preserve">San Francisco, California, United States</w:t>
      </w:r>
      <w:r>
        <w:br/>
      </w:r>
      <w:r>
        <w:rPr>
          <w:bCs/>
          <w:b/>
        </w:rPr>
        <w:t xml:space="preserve">Principal Investigator:</w:t>
      </w:r>
      <w:r>
        <w:t xml:space="preserve"> </w:t>
      </w:r>
      <w:r>
        <w:t xml:space="preserve">[Name Redacted]</w:t>
      </w:r>
      <w:r>
        <w:br/>
      </w:r>
      <w:r>
        <w:rPr>
          <w:bCs/>
          <w:b/>
        </w:rPr>
        <w:t xml:space="preserve">Affiliation:</w:t>
      </w:r>
      <w:r>
        <w:t xml:space="preserve"> </w:t>
      </w:r>
      <w:r>
        <w:t xml:space="preserve">[Institution Redacted]</w:t>
      </w:r>
    </w:p>
    <w:bookmarkEnd w:id="20"/>
    <w:bookmarkStart w:id="21" w:name="introduction-and-background"/>
    <w:p>
      <w:pPr>
        <w:pStyle w:val="Heading2"/>
      </w:pPr>
      <w:r>
        <w:t xml:space="preserve">1. Introduction and Background</w:t>
      </w:r>
    </w:p>
    <w:p>
      <w:pPr>
        <w:pStyle w:val="FirstParagraph"/>
      </w:pPr>
      <w:r>
        <w:t xml:space="preserve">The political landscape of San Francisco, California, within the United States, is characterized by a complex interplay of progressive policy initiatives, diverse demographic constituencies, and a highly active civic engagement culture. The role of the politician in this specific municipal context is pivotal, as local officials are tasked with addressing pressing issues such as housing affordability, homelessness, public safety, and technological innovation.</w:t>
      </w:r>
    </w:p>
    <w:p>
      <w:pPr>
        <w:pStyle w:val="BodyText"/>
      </w:pPr>
      <w:r>
        <w:t xml:space="preserve">While existing literature extensively covers voter behavior, there is a gap in empirical data regarding how direct, structured constituent engagement influences the policy prioritization of individual politicians. This experiment protocol outlines a rigorous methodology to test the hypothesis that structured, data-driven constituent feedback significantly alters the legislative agenda of politicians in San Francisco compared to traditional lobbying or passive polling methods.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responsiveness of San Francisco politicians to direct constituent communication regarding specific policy proposals.</w:t>
      </w:r>
    </w:p>
    <w:p>
      <w:pPr>
        <w:numPr>
          <w:ilvl w:val="0"/>
          <w:numId w:val="1001"/>
        </w:numPr>
        <w:pStyle w:val="Compact"/>
      </w:pPr>
      <w:r>
        <w:t xml:space="preserve">To determine if the demographic composition of the communicating constituents affects the politician's level of engagement.</w:t>
      </w:r>
    </w:p>
    <w:p>
      <w:pPr>
        <w:numPr>
          <w:ilvl w:val="0"/>
          <w:numId w:val="1001"/>
        </w:numPr>
        <w:pStyle w:val="Compact"/>
      </w:pPr>
      <w:r>
        <w:t xml:space="preserve">To analyze the correlation between the volume of constituent feedback and the inclusion of specific items on the San Francisco Board of Supervisors' agenda.</w:t>
      </w:r>
    </w:p>
    <w:p>
      <w:pPr>
        <w:numPr>
          <w:ilvl w:val="0"/>
          <w:numId w:val="1001"/>
        </w:numPr>
        <w:pStyle w:val="Compact"/>
      </w:pPr>
      <w:r>
        <w:t xml:space="preserve">To evaluate the efficacy of digital versus in-person engagement strategies within the unique political ecosystem of San Francisco.</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design. We will select a representative sample of politicians currently serving in the San Francisco Board of Supervisors and the San Francisco City Attorney's office. The experiment will run over a period of six months, coinciding with a standard legislative session.</w:t>
      </w:r>
    </w:p>
    <w:bookmarkEnd w:id="23"/>
    <w:bookmarkStart w:id="24" w:name="participants"/>
    <w:p>
      <w:pPr>
        <w:pStyle w:val="Heading3"/>
      </w:pPr>
      <w:r>
        <w:t xml:space="preserve">3.2 Participants</w:t>
      </w:r>
    </w:p>
    <w:p>
      <w:pPr>
        <w:pStyle w:val="FirstParagraph"/>
      </w:pPr>
      <w:r>
        <w:rPr>
          <w:bCs/>
          <w:b/>
        </w:rPr>
        <w:t xml:space="preserve">Politicians:</w:t>
      </w:r>
      <w:r>
        <w:t xml:space="preserve"> </w:t>
      </w:r>
      <w:r>
        <w:t xml:space="preserve">All eleven members of the San Francisco Board of Supervisors will be included as subjects. This ensures a comprehensive view across different districts, ranging from the tech-centric Sunset District to the densely populated Mission District.</w:t>
      </w:r>
    </w:p>
    <w:p>
      <w:pPr>
        <w:pStyle w:val="BodyText"/>
      </w:pPr>
      <w:r>
        <w:rPr>
          <w:bCs/>
          <w:b/>
        </w:rPr>
        <w:t xml:space="preserve">Constituents:</w:t>
      </w:r>
      <w:r>
        <w:t xml:space="preserve"> </w:t>
      </w:r>
      <w:r>
        <w:t xml:space="preserve">A panel of 5,000 registered voters in San Francisco will be recruited. Participants will be stratified by district, age, and socioeconomic status to reflect the city's demographics accurately.</w:t>
      </w:r>
    </w:p>
    <w:bookmarkEnd w:id="24"/>
    <w:bookmarkStart w:id="25" w:name="intervention"/>
    <w:p>
      <w:pPr>
        <w:pStyle w:val="Heading3"/>
      </w:pPr>
      <w:r>
        <w:t xml:space="preserve">3.3 Intervention</w:t>
      </w:r>
    </w:p>
    <w:p>
      <w:pPr>
        <w:pStyle w:val="FirstParagraph"/>
      </w:pPr>
      <w:r>
        <w:t xml:space="preserve">The constituent panel will be randomly divided into three groups:</w:t>
      </w:r>
    </w:p>
    <w:p>
      <w:pPr>
        <w:numPr>
          <w:ilvl w:val="0"/>
          <w:numId w:val="1002"/>
        </w:numPr>
        <w:pStyle w:val="Compact"/>
      </w:pPr>
      <w:r>
        <w:rPr>
          <w:bCs/>
          <w:b/>
        </w:rPr>
        <w:t xml:space="preserve">Group A (Digital Advocacy):</w:t>
      </w:r>
      <w:r>
        <w:t xml:space="preserve"> </w:t>
      </w:r>
      <w:r>
        <w:t xml:space="preserve">Instructed to send personalized emails and utilize official city feedback portals regarding a specific, non-partisan policy proposal (e.g., expansion of micro-mobility infrastructure).</w:t>
      </w:r>
    </w:p>
    <w:p>
      <w:pPr>
        <w:numPr>
          <w:ilvl w:val="0"/>
          <w:numId w:val="1002"/>
        </w:numPr>
        <w:pStyle w:val="Compact"/>
      </w:pPr>
      <w:r>
        <w:rPr>
          <w:bCs/>
          <w:b/>
        </w:rPr>
        <w:t xml:space="preserve">Group B (In-Person Engagement):</w:t>
      </w:r>
      <w:r>
        <w:t xml:space="preserve"> </w:t>
      </w:r>
      <w:r>
        <w:t xml:space="preserve">Instructed to attend town halls, schedule office hours, and submit written testimony during public hearings.</w:t>
      </w:r>
    </w:p>
    <w:p>
      <w:pPr>
        <w:numPr>
          <w:ilvl w:val="0"/>
          <w:numId w:val="1002"/>
        </w:numPr>
        <w:pStyle w:val="Compact"/>
      </w:pPr>
      <w:r>
        <w:rPr>
          <w:bCs/>
          <w:b/>
        </w:rPr>
        <w:t xml:space="preserve">Group C (Control):</w:t>
      </w:r>
      <w:r>
        <w:t xml:space="preserve"> </w:t>
      </w:r>
      <w:r>
        <w:t xml:space="preserve">No instruction to engage; serves as a baseline for organic political activity.</w:t>
      </w:r>
    </w:p>
    <w:p>
      <w:pPr>
        <w:pStyle w:val="FirstParagraph"/>
      </w:pPr>
      <w:r>
        <w:t xml:space="preserve">The policy proposal will be identical for all groups to ensure consistency. The proposal will be designed to be feasible yet controversial enough to require a clear stance from the politician.</w:t>
      </w:r>
    </w:p>
    <w:bookmarkEnd w:id="25"/>
    <w:bookmarkStart w:id="26" w:name="data-collection"/>
    <w:p>
      <w:pPr>
        <w:pStyle w:val="Heading3"/>
      </w:pPr>
      <w:r>
        <w:t xml:space="preserve">3.4 Data Collection</w:t>
      </w:r>
    </w:p>
    <w:p>
      <w:pPr>
        <w:pStyle w:val="FirstParagraph"/>
      </w:pPr>
      <w:r>
        <w:t xml:space="preserve">Data will be collected through multiple channels:</w:t>
      </w:r>
    </w:p>
    <w:p>
      <w:pPr>
        <w:numPr>
          <w:ilvl w:val="0"/>
          <w:numId w:val="1003"/>
        </w:numPr>
        <w:pStyle w:val="Compact"/>
      </w:pPr>
      <w:r>
        <w:rPr>
          <w:bCs/>
          <w:b/>
        </w:rPr>
        <w:t xml:space="preserve">Official Records:</w:t>
      </w:r>
      <w:r>
        <w:t xml:space="preserve"> </w:t>
      </w:r>
      <w:r>
        <w:t xml:space="preserve">Tracking of public votes, committee assignments, and agenda items related to the test policy.</w:t>
      </w:r>
    </w:p>
    <w:p>
      <w:pPr>
        <w:numPr>
          <w:ilvl w:val="0"/>
          <w:numId w:val="1003"/>
        </w:numPr>
        <w:pStyle w:val="Compact"/>
      </w:pPr>
      <w:r>
        <w:rPr>
          <w:bCs/>
          <w:b/>
        </w:rPr>
        <w:t xml:space="preserve">Communication Logs:</w:t>
      </w:r>
      <w:r>
        <w:t xml:space="preserve"> </w:t>
      </w:r>
      <w:r>
        <w:t xml:space="preserve">With consent, we will record the volume and nature of responses from politicians' offices to the constituent groups.</w:t>
      </w:r>
    </w:p>
    <w:p>
      <w:pPr>
        <w:numPr>
          <w:ilvl w:val="0"/>
          <w:numId w:val="1003"/>
        </w:numPr>
        <w:pStyle w:val="Compact"/>
      </w:pPr>
      <w:r>
        <w:rPr>
          <w:bCs/>
          <w:b/>
        </w:rPr>
        <w:t xml:space="preserve">Surveys:</w:t>
      </w:r>
      <w:r>
        <w:t xml:space="preserve"> </w:t>
      </w:r>
      <w:r>
        <w:t xml:space="preserve">Post-experiment surveys administered to politicians to assess their perception of constituent pressure and policy importance.</w:t>
      </w:r>
    </w:p>
    <w:bookmarkEnd w:id="26"/>
    <w:bookmarkEnd w:id="27"/>
    <w:bookmarkStart w:id="28" w:name="ethical-considerations"/>
    <w:p>
      <w:pPr>
        <w:pStyle w:val="Heading2"/>
      </w:pPr>
      <w:r>
        <w:t xml:space="preserve">4. Ethical Considerations</w:t>
      </w:r>
    </w:p>
    <w:p>
      <w:pPr>
        <w:pStyle w:val="FirstParagraph"/>
      </w:pPr>
      <w:r>
        <w:t xml:space="preserve">This experiment adheres to the highest ethical standards for research involving human subjects and public officials.</w:t>
      </w:r>
    </w:p>
    <w:p>
      <w:pPr>
        <w:numPr>
          <w:ilvl w:val="0"/>
          <w:numId w:val="1004"/>
        </w:numPr>
        <w:pStyle w:val="Compact"/>
      </w:pPr>
      <w:r>
        <w:rPr>
          <w:bCs/>
          <w:b/>
        </w:rPr>
        <w:t xml:space="preserve">Informed Consent:</w:t>
      </w:r>
      <w:r>
        <w:t xml:space="preserve"> </w:t>
      </w:r>
      <w:r>
        <w:t xml:space="preserve">All constituent participants will provide informed consent. Politicians will be notified of the study's existence but blinded to the specific assignment of their constituents to ensure natural behavior.</w:t>
      </w:r>
    </w:p>
    <w:p>
      <w:pPr>
        <w:numPr>
          <w:ilvl w:val="0"/>
          <w:numId w:val="1004"/>
        </w:numPr>
        <w:pStyle w:val="Compact"/>
      </w:pPr>
      <w:r>
        <w:rPr>
          <w:bCs/>
          <w:b/>
        </w:rPr>
        <w:t xml:space="preserve">Neutrality:</w:t>
      </w:r>
      <w:r>
        <w:t xml:space="preserve"> </w:t>
      </w:r>
      <w:r>
        <w:t xml:space="preserve">The policy topic selected will be carefully vetted to avoid influencing critical elections or sensitive civil rights issues.</w:t>
      </w:r>
    </w:p>
    <w:p>
      <w:pPr>
        <w:numPr>
          <w:ilvl w:val="0"/>
          <w:numId w:val="1004"/>
        </w:numPr>
        <w:pStyle w:val="Compact"/>
      </w:pPr>
      <w:r>
        <w:rPr>
          <w:bCs/>
          <w:b/>
        </w:rPr>
        <w:t xml:space="preserve">Privacy:</w:t>
      </w:r>
      <w:r>
        <w:t xml:space="preserve"> </w:t>
      </w:r>
      <w:r>
        <w:t xml:space="preserve">All personal data collected from constituents will be anonymized and encrypted in compliance with California Consumer Privacy Act (CCPA) regulations.</w:t>
      </w:r>
    </w:p>
    <w:p>
      <w:pPr>
        <w:numPr>
          <w:ilvl w:val="0"/>
          <w:numId w:val="1004"/>
        </w:numPr>
        <w:pStyle w:val="Compact"/>
      </w:pPr>
      <w:r>
        <w:rPr>
          <w:bCs/>
          <w:b/>
        </w:rPr>
        <w:t xml:space="preserve">Non-Interference:</w:t>
      </w:r>
      <w:r>
        <w:t xml:space="preserve"> </w:t>
      </w:r>
      <w:r>
        <w:t xml:space="preserve">The study will not attempt to manipulate election outcomes or violate campaign finance laws in the United States.</w:t>
      </w:r>
    </w:p>
    <w:bookmarkEnd w:id="28"/>
    <w:bookmarkStart w:id="29" w:name="data-analysis"/>
    <w:p>
      <w:pPr>
        <w:pStyle w:val="Heading2"/>
      </w:pPr>
      <w:r>
        <w:t xml:space="preserve">5. Data Analysis</w:t>
      </w:r>
    </w:p>
    <w:p>
      <w:pPr>
        <w:pStyle w:val="FirstParagraph"/>
      </w:pPr>
      <w:r>
        <w:t xml:space="preserve">Quantitative data will be analyzed using statistical software (e.g., R or SPSS). We will employ regression analysis to control for confounding variables such as district wealth, party affiliation, and prior voting records. Qualitative data from politician interviews will be coded thematically to identify patterns in decision-making rationale.</w:t>
      </w:r>
    </w:p>
    <w:p>
      <w:pPr>
        <w:pStyle w:val="BodyText"/>
      </w:pPr>
      <w:r>
        <w:t xml:space="preserve">Key metrics for success include:</w:t>
      </w:r>
    </w:p>
    <w:p>
      <w:pPr>
        <w:numPr>
          <w:ilvl w:val="0"/>
          <w:numId w:val="1005"/>
        </w:numPr>
        <w:pStyle w:val="Compact"/>
      </w:pPr>
      <w:r>
        <w:t xml:space="preserve">Response rate of politicians to constituent groups.</w:t>
      </w:r>
    </w:p>
    <w:p>
      <w:pPr>
        <w:numPr>
          <w:ilvl w:val="0"/>
          <w:numId w:val="1005"/>
        </w:numPr>
        <w:pStyle w:val="Compact"/>
      </w:pPr>
      <w:r>
        <w:t xml:space="preserve">Time lag between constituent engagement and policy acknowledgment.</w:t>
      </w:r>
    </w:p>
    <w:p>
      <w:pPr>
        <w:numPr>
          <w:ilvl w:val="0"/>
          <w:numId w:val="1005"/>
        </w:numPr>
        <w:pStyle w:val="Compact"/>
      </w:pPr>
      <w:r>
        <w:t xml:space="preserve">Frequency of the test policy appearing in public statements or legislative drafts.</w:t>
      </w:r>
    </w:p>
    <w:bookmarkEnd w:id="29"/>
    <w:bookmarkStart w:id="30" w:name="expected-outcomes-and-significance"/>
    <w:p>
      <w:pPr>
        <w:pStyle w:val="Heading2"/>
      </w:pPr>
      <w:r>
        <w:t xml:space="preserve">6. Expected Outcomes and Significance</w:t>
      </w:r>
    </w:p>
    <w:p>
      <w:pPr>
        <w:pStyle w:val="FirstParagraph"/>
      </w:pPr>
      <w:r>
        <w:t xml:space="preserve">We anticipate that this experiment will reveal significant variations in how politicians in San Francisco respond to different modes of engagement. Specifically, we hypothesize that in-person engagement (Group B) will yield higher qualitative engagement from politicians, while digital advocacy (Group A) will generate higher quantitative visibility.</w:t>
      </w:r>
    </w:p>
    <w:p>
      <w:pPr>
        <w:pStyle w:val="BodyText"/>
      </w:pPr>
      <w:r>
        <w:t xml:space="preserve">The findings will contribute to the broader understanding of democratic representation in the United States. By focusing on San Francisco, a city known for its progressive governance and tech-savvy population, this protocol offers a unique case study applicable to other major urban centers. Ultimately, this research aims to empower citizens with evidence-based strategies for effective political participation.</w:t>
      </w:r>
    </w:p>
    <w:bookmarkEnd w:id="30"/>
    <w:bookmarkStart w:id="31" w:name="timeline"/>
    <w:p>
      <w:pPr>
        <w:pStyle w:val="Heading2"/>
      </w:pPr>
      <w:r>
        <w:t xml:space="preserve">7. Timeline</w:t>
      </w:r>
    </w:p>
    <w:p>
      <w:pPr>
        <w:numPr>
          <w:ilvl w:val="0"/>
          <w:numId w:val="1006"/>
        </w:numPr>
        <w:pStyle w:val="Compact"/>
      </w:pPr>
      <w:r>
        <w:rPr>
          <w:bCs/>
          <w:b/>
        </w:rPr>
        <w:t xml:space="preserve">Month 1:</w:t>
      </w:r>
      <w:r>
        <w:t xml:space="preserve"> </w:t>
      </w:r>
      <w:r>
        <w:t xml:space="preserve">Recruitment of constituent panel and ethical review board approval.</w:t>
      </w:r>
    </w:p>
    <w:p>
      <w:pPr>
        <w:numPr>
          <w:ilvl w:val="0"/>
          <w:numId w:val="1006"/>
        </w:numPr>
        <w:pStyle w:val="Compact"/>
      </w:pPr>
      <w:r>
        <w:rPr>
          <w:bCs/>
          <w:b/>
        </w:rPr>
        <w:t xml:space="preserve">Month 2:</w:t>
      </w:r>
      <w:r>
        <w:t xml:space="preserve"> </w:t>
      </w:r>
      <w:r>
        <w:t xml:space="preserve">Randomization and initiation of interventions.</w:t>
      </w:r>
    </w:p>
    <w:p>
      <w:pPr>
        <w:numPr>
          <w:ilvl w:val="0"/>
          <w:numId w:val="1006"/>
        </w:numPr>
        <w:pStyle w:val="Compact"/>
      </w:pPr>
      <w:r>
        <w:rPr>
          <w:bCs/>
          <w:b/>
        </w:rPr>
        <w:t xml:space="preserve">Months 3-5:</w:t>
      </w:r>
      <w:r>
        <w:t xml:space="preserve"> </w:t>
      </w:r>
      <w:r>
        <w:t xml:space="preserve">Active data collection and monitoring of legislative activity.</w:t>
      </w:r>
    </w:p>
    <w:p>
      <w:pPr>
        <w:numPr>
          <w:ilvl w:val="0"/>
          <w:numId w:val="1006"/>
        </w:numPr>
        <w:pStyle w:val="Compact"/>
      </w:pPr>
      <w:r>
        <w:rPr>
          <w:bCs/>
          <w:b/>
        </w:rPr>
        <w:t xml:space="preserve">Month 6:</w:t>
      </w:r>
      <w:r>
        <w:t xml:space="preserve"> </w:t>
      </w:r>
      <w:r>
        <w:t xml:space="preserve">Post-experiment surveys and data analysis.</w:t>
      </w:r>
    </w:p>
    <w:p>
      <w:pPr>
        <w:numPr>
          <w:ilvl w:val="0"/>
          <w:numId w:val="1006"/>
        </w:numPr>
        <w:pStyle w:val="Compact"/>
      </w:pPr>
      <w:r>
        <w:rPr>
          <w:bCs/>
          <w:b/>
        </w:rPr>
        <w:t xml:space="preserve">Month 7:</w:t>
      </w:r>
      <w:r>
        <w:t xml:space="preserve"> </w:t>
      </w:r>
      <w:r>
        <w:t xml:space="preserve">Publication of preliminary findings and policy recommendations.</w:t>
      </w:r>
    </w:p>
    <w:bookmarkEnd w:id="31"/>
    <w:bookmarkStart w:id="32" w:name="conclusion"/>
    <w:p>
      <w:pPr>
        <w:pStyle w:val="Heading2"/>
      </w:pPr>
      <w:r>
        <w:t xml:space="preserve">8. Conclusion</w:t>
      </w:r>
    </w:p>
    <w:p>
      <w:pPr>
        <w:pStyle w:val="FirstParagraph"/>
      </w:pPr>
      <w:r>
        <w:t xml:space="preserve">This experiment protocol provides a structured, ethical, and scientifically rigorous framework for investigating the dynamics between politicians and constituents in San Francisco. By adhering to this protocol, we aim to generate actionable insights that can enhance civic engagement and improve the responsiveness of local government in the United States.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Engagement in San Francisco</dc:title>
  <dc:creator/>
  <dc:language>en</dc:language>
  <cp:keywords/>
  <dcterms:created xsi:type="dcterms:W3CDTF">2026-10-10T13:53:02Z</dcterms:created>
  <dcterms:modified xsi:type="dcterms:W3CDTF">2026-10-10T13:53:02Z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