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Engagement</w:t>
      </w:r>
      <w:r>
        <w:t xml:space="preserve"> </w:t>
      </w:r>
      <w:r>
        <w:t xml:space="preserve">in</w:t>
      </w:r>
      <w:r>
        <w:t xml:space="preserve"> </w:t>
      </w:r>
      <w:r>
        <w:t xml:space="preserve">Uzbekistan</w:t>
      </w:r>
      <w:r>
        <w:t xml:space="preserve"> </w:t>
      </w:r>
      <w:r>
        <w:t xml:space="preserve">Tashkent</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Assessing the Impact of Digital Civic Engagement Platforms on Politician Responsiveness in Uzbekistan Tashkent</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Tashkent, Uzbekistan</w:t>
      </w:r>
    </w:p>
    <w:bookmarkEnd w:id="20"/>
    <w:p>
      <w:pPr>
        <w:pStyle w:val="BodyText"/>
      </w:pPr>
      <w:r>
        <w:t xml:space="preserve">1. Introduction and Background</w:t>
      </w:r>
    </w:p>
    <w:p>
      <w:pPr>
        <w:pStyle w:val="BodyText"/>
      </w:pPr>
      <w:r>
        <w:t xml:space="preserve">This Experiment Protocol outlines the methodology for a controlled study designed to evaluate the effectiveness of digital communication channels in enhancing the responsiveness of a Politician to constituents within the capital city of Uzbekistan Tashkent. In recent years, Uzbekistan has undergone significant administrative and digital reforms. Tashkent, as the political and economic hub, presents a unique environment where traditional governance structures intersect with modern digital tools.</w:t>
      </w:r>
    </w:p>
    <w:p>
      <w:pPr>
        <w:pStyle w:val="BodyText"/>
      </w:pPr>
      <w:r>
        <w:t xml:space="preserve">The primary objective is to determine whether structured digital engagement initiatives can measurably improve the speed and quality of responses provided by a Politician to citizen inquiries. This study aims to provide empirical data that can inform future public policy and digital governance strategies in the region.</w:t>
      </w:r>
    </w:p>
    <w:p>
      <w:pPr>
        <w:pStyle w:val="BodyText"/>
      </w:pPr>
      <w:r>
        <w:t xml:space="preserve">2. Objectives</w:t>
      </w:r>
    </w:p>
    <w:p>
      <w:pPr>
        <w:pStyle w:val="BodyText"/>
      </w:pPr>
      <w:r>
        <w:t xml:space="preserve">The specific objectives of this experiment are:</w:t>
      </w:r>
    </w:p>
    <w:p>
      <w:pPr>
        <w:numPr>
          <w:ilvl w:val="0"/>
          <w:numId w:val="1001"/>
        </w:numPr>
        <w:pStyle w:val="Compact"/>
      </w:pPr>
      <w:r>
        <w:t xml:space="preserve">To measure the average response time of a Politician to citizen inquiries submitted via a dedicated digital platform versus traditional channels.</w:t>
      </w:r>
    </w:p>
    <w:p>
      <w:pPr>
        <w:numPr>
          <w:ilvl w:val="0"/>
          <w:numId w:val="1001"/>
        </w:numPr>
        <w:pStyle w:val="Compact"/>
      </w:pPr>
      <w:r>
        <w:t xml:space="preserve">To assess the quality and relevance of the Politician's responses to issues pertinent to residents of Uzbekistan Tashkent.</w:t>
      </w:r>
    </w:p>
    <w:p>
      <w:pPr>
        <w:numPr>
          <w:ilvl w:val="0"/>
          <w:numId w:val="1001"/>
        </w:numPr>
        <w:pStyle w:val="Compact"/>
      </w:pPr>
      <w:r>
        <w:t xml:space="preserve">To evaluate citizen satisfaction levels with the Politician's engagement through the digital medium.</w:t>
      </w:r>
    </w:p>
    <w:p>
      <w:pPr>
        <w:numPr>
          <w:ilvl w:val="0"/>
          <w:numId w:val="1001"/>
        </w:numPr>
        <w:pStyle w:val="Compact"/>
      </w:pPr>
      <w:r>
        <w:t xml:space="preserve">To identify potential barriers to effective digital communication between the Politician and the electorate in Tashkent.</w:t>
      </w:r>
    </w:p>
    <w:p>
      <w:pPr>
        <w:pStyle w:val="FirstParagraph"/>
      </w:pPr>
      <w:r>
        <w:t xml:space="preserve">3. Methodology</w:t>
      </w:r>
    </w:p>
    <w:p>
      <w:pPr>
        <w:pStyle w:val="BodyText"/>
      </w:pPr>
      <w:r>
        <w:rPr>
          <w:bCs/>
          <w:b/>
        </w:rPr>
        <w:t xml:space="preserve">3.1 Study Design</w:t>
      </w:r>
    </w:p>
    <w:p>
      <w:pPr>
        <w:pStyle w:val="BodyText"/>
      </w:pPr>
      <w:r>
        <w:t xml:space="preserve">This study will employ a randomized controlled trial (RCT) design. The experiment will be conducted over a period of 12 weeks in selected districts of Uzbekistan Tashkent. The target population includes registered voters aged 18 and above who are residents of the selected districts.</w:t>
      </w:r>
    </w:p>
    <w:p>
      <w:pPr>
        <w:pStyle w:val="BodyText"/>
      </w:pPr>
      <w:r>
        <w:rPr>
          <w:bCs/>
          <w:b/>
        </w:rPr>
        <w:t xml:space="preserve">3.2 Participants</w:t>
      </w:r>
    </w:p>
    <w:p>
      <w:pPr>
        <w:pStyle w:val="BodyText"/>
      </w:pPr>
      <w:r>
        <w:t xml:space="preserve">Participants will be recruited through community centers and digital outreach in Tashkent. A total of 1,000 participants will be randomly assigned to one of two groups:</w:t>
      </w:r>
    </w:p>
    <w:p>
      <w:pPr>
        <w:numPr>
          <w:ilvl w:val="0"/>
          <w:numId w:val="1002"/>
        </w:numPr>
        <w:pStyle w:val="Compact"/>
      </w:pPr>
      <w:r>
        <w:rPr>
          <w:bCs/>
          <w:b/>
        </w:rPr>
        <w:t xml:space="preserve">Control Group:</w:t>
      </w:r>
      <w:r>
        <w:t xml:space="preserve"> </w:t>
      </w:r>
      <w:r>
        <w:t xml:space="preserve">Participants will submit inquiries to the Politician through traditional channels (e.g., in-person visits, phone calls).</w:t>
      </w:r>
    </w:p>
    <w:p>
      <w:pPr>
        <w:numPr>
          <w:ilvl w:val="0"/>
          <w:numId w:val="1002"/>
        </w:numPr>
        <w:pStyle w:val="Compact"/>
      </w:pPr>
      <w:r>
        <w:rPr>
          <w:bCs/>
          <w:b/>
        </w:rPr>
        <w:t xml:space="preserve">Experimental Group:</w:t>
      </w:r>
      <w:r>
        <w:t xml:space="preserve"> </w:t>
      </w:r>
      <w:r>
        <w:t xml:space="preserve">Participants will submit inquiries through a secure, dedicated digital platform developed for this experiment.</w:t>
      </w:r>
    </w:p>
    <w:p>
      <w:pPr>
        <w:pStyle w:val="FirstParagraph"/>
      </w:pPr>
      <w:r>
        <w:rPr>
          <w:bCs/>
          <w:b/>
        </w:rPr>
        <w:t xml:space="preserve">3.3 The Politician's Role</w:t>
      </w:r>
    </w:p>
    <w:p>
      <w:pPr>
        <w:pStyle w:val="BodyText"/>
      </w:pPr>
      <w:r>
        <w:t xml:space="preserve">The Politician involved in this experiment will be a local representative in Tashkent. Their office will be briefed on the protocol but will not be informed of the specific group assignment of each inquiry to avoid bias. The Politician's staff will handle responses according to standard operating procedures for each channel.</w:t>
      </w:r>
    </w:p>
    <w:p>
      <w:pPr>
        <w:pStyle w:val="BodyText"/>
      </w:pPr>
      <w:r>
        <w:t xml:space="preserve">4. Procedures</w:t>
      </w:r>
    </w:p>
    <w:p>
      <w:pPr>
        <w:pStyle w:val="BodyText"/>
      </w:pPr>
      <w:r>
        <w:rPr>
          <w:bCs/>
          <w:b/>
        </w:rPr>
        <w:t xml:space="preserve">4.1 Preparation Phase (Weeks 1-2)</w:t>
      </w:r>
    </w:p>
    <w:p>
      <w:pPr>
        <w:numPr>
          <w:ilvl w:val="0"/>
          <w:numId w:val="1003"/>
        </w:numPr>
        <w:pStyle w:val="Compact"/>
      </w:pPr>
      <w:r>
        <w:t xml:space="preserve">Develop and test the digital platform for the experimental group.</w:t>
      </w:r>
    </w:p>
    <w:p>
      <w:pPr>
        <w:numPr>
          <w:ilvl w:val="0"/>
          <w:numId w:val="1003"/>
        </w:numPr>
        <w:pStyle w:val="Compact"/>
      </w:pPr>
      <w:r>
        <w:t xml:space="preserve">Obtain necessary approvals from local authorities in Uzbekistan Tashkent.</w:t>
      </w:r>
    </w:p>
    <w:p>
      <w:pPr>
        <w:numPr>
          <w:ilvl w:val="0"/>
          <w:numId w:val="1003"/>
        </w:numPr>
        <w:pStyle w:val="Compact"/>
      </w:pPr>
      <w:r>
        <w:t xml:space="preserve">Recruit and train research assistants.</w:t>
      </w:r>
    </w:p>
    <w:p>
      <w:pPr>
        <w:numPr>
          <w:ilvl w:val="0"/>
          <w:numId w:val="1003"/>
        </w:numPr>
        <w:pStyle w:val="Compact"/>
      </w:pPr>
      <w:r>
        <w:t xml:space="preserve">Conduct baseline surveys with participants to assess prior experiences with the Politician.</w:t>
      </w:r>
    </w:p>
    <w:p>
      <w:pPr>
        <w:pStyle w:val="FirstParagraph"/>
      </w:pPr>
      <w:r>
        <w:rPr>
          <w:bCs/>
          <w:b/>
        </w:rPr>
        <w:t xml:space="preserve">4.2 Implementation Phase (Weeks 3-14)</w:t>
      </w:r>
    </w:p>
    <w:p>
      <w:pPr>
        <w:numPr>
          <w:ilvl w:val="0"/>
          <w:numId w:val="1004"/>
        </w:numPr>
        <w:pStyle w:val="Compact"/>
      </w:pPr>
      <w:r>
        <w:t xml:space="preserve">Participants submit inquiries related to local issues (e.g., infrastructure, public services, community development).</w:t>
      </w:r>
    </w:p>
    <w:p>
      <w:pPr>
        <w:numPr>
          <w:ilvl w:val="0"/>
          <w:numId w:val="1004"/>
        </w:numPr>
        <w:pStyle w:val="Compact"/>
      </w:pPr>
      <w:r>
        <w:t xml:space="preserve">Track the submission time, response time, and content of responses from the Politician's office.</w:t>
      </w:r>
    </w:p>
    <w:p>
      <w:pPr>
        <w:numPr>
          <w:ilvl w:val="0"/>
          <w:numId w:val="1004"/>
        </w:numPr>
        <w:pStyle w:val="Compact"/>
      </w:pPr>
      <w:r>
        <w:t xml:space="preserve">Ensure data integrity and confidentiality throughout the process.</w:t>
      </w:r>
    </w:p>
    <w:p>
      <w:pPr>
        <w:pStyle w:val="FirstParagraph"/>
      </w:pPr>
      <w:r>
        <w:rPr>
          <w:bCs/>
          <w:b/>
        </w:rPr>
        <w:t xml:space="preserve">4.3 Evaluation Phase (Weeks 15-16)</w:t>
      </w:r>
    </w:p>
    <w:p>
      <w:pPr>
        <w:numPr>
          <w:ilvl w:val="0"/>
          <w:numId w:val="1005"/>
        </w:numPr>
        <w:pStyle w:val="Compact"/>
      </w:pPr>
      <w:r>
        <w:t xml:space="preserve">Conduct post-experiment surveys to measure citizen satisfaction.</w:t>
      </w:r>
    </w:p>
    <w:p>
      <w:pPr>
        <w:numPr>
          <w:ilvl w:val="0"/>
          <w:numId w:val="1005"/>
        </w:numPr>
        <w:pStyle w:val="Compact"/>
      </w:pPr>
      <w:r>
        <w:t xml:space="preserve">Analyze response times and quality metrics.</w:t>
      </w:r>
    </w:p>
    <w:p>
      <w:pPr>
        <w:numPr>
          <w:ilvl w:val="0"/>
          <w:numId w:val="1005"/>
        </w:numPr>
        <w:pStyle w:val="Compact"/>
      </w:pPr>
      <w:r>
        <w:t xml:space="preserve">Compile findings and prepare a comprehensive report.</w:t>
      </w:r>
    </w:p>
    <w:p>
      <w:pPr>
        <w:pStyle w:val="FirstParagraph"/>
      </w:pPr>
      <w:r>
        <w:t xml:space="preserve">5. Data Collection and Analysis</w:t>
      </w:r>
    </w:p>
    <w:p>
      <w:pPr>
        <w:pStyle w:val="BodyText"/>
      </w:pPr>
      <w:r>
        <w:t xml:space="preserve">Data will be collected using a combination of automated logs from the digital platform, manual records from traditional channels, and survey responses. Key metrics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Response Time</w:t>
            </w:r>
          </w:p>
        </w:tc>
        <w:tc>
          <w:tcPr/>
          <w:p>
            <w:pPr>
              <w:pStyle w:val="Compact"/>
              <w:jc w:val="left"/>
            </w:pPr>
            <w:r>
              <w:t xml:space="preserve">Time elapsed between inquiry submission and Politician's response.</w:t>
            </w:r>
          </w:p>
        </w:tc>
      </w:tr>
      <w:tr>
        <w:tc>
          <w:tcPr/>
          <w:p>
            <w:pPr>
              <w:pStyle w:val="Compact"/>
              <w:jc w:val="left"/>
            </w:pPr>
            <w:r>
              <w:t xml:space="preserve">Response Quality</w:t>
            </w:r>
          </w:p>
        </w:tc>
        <w:tc>
          <w:tcPr/>
          <w:p>
            <w:pPr>
              <w:pStyle w:val="Compact"/>
              <w:jc w:val="left"/>
            </w:pPr>
            <w:r>
              <w:t xml:space="preserve">Assessed by independent evaluators based on relevance, clarity, and actionability.</w:t>
            </w:r>
          </w:p>
        </w:tc>
      </w:tr>
      <w:tr>
        <w:tc>
          <w:tcPr/>
          <w:p>
            <w:pPr>
              <w:pStyle w:val="Compact"/>
              <w:jc w:val="left"/>
            </w:pPr>
            <w:r>
              <w:t xml:space="preserve">Citizen Satisfaction</w:t>
            </w:r>
          </w:p>
        </w:tc>
        <w:tc>
          <w:tcPr/>
          <w:p>
            <w:pPr>
              <w:pStyle w:val="Compact"/>
              <w:jc w:val="left"/>
            </w:pPr>
            <w:r>
              <w:t xml:space="preserve">Measured via Likert scale surveys post-interaction.</w:t>
            </w:r>
          </w:p>
        </w:tc>
      </w:tr>
    </w:tbl>
    <w:p>
      <w:pPr>
        <w:pStyle w:val="BodyText"/>
      </w:pPr>
      <w:r>
        <w:t xml:space="preserve">Statistical analysis will be performed using appropriate software to compare outcomes between the control and experimental groups. Hypothesis testing will determine if observed differences are statistically significant.</w:t>
      </w:r>
    </w:p>
    <w:p>
      <w:pPr>
        <w:pStyle w:val="BodyText"/>
      </w:pPr>
      <w:r>
        <w:t xml:space="preserve">6. Ethical Considerations</w:t>
      </w:r>
    </w:p>
    <w:p>
      <w:pPr>
        <w:pStyle w:val="BodyText"/>
      </w:pPr>
      <w:r>
        <w:t xml:space="preserve">This Experiment Protocol adheres to ethical standards for research involving human subjects. Informed consent will be obtained from all participants prior to their involvement. Participants will be informed of their right to withdraw from the study at any time without penalty. Data will be anonymized to protect participant privacy, and all information will be stored securely in compliance with data protection regulations in Uzbekistan.</w:t>
      </w:r>
    </w:p>
    <w:p>
      <w:pPr>
        <w:pStyle w:val="BodyText"/>
      </w:pPr>
      <w:r>
        <w:t xml:space="preserve">Special care will be taken to ensure that the experiment does not interfere with the Politician's official duties or compromise the integrity of the political process in Tashkent. The study is designed to be observational and non-intrusive.</w:t>
      </w:r>
    </w:p>
    <w:p>
      <w:pPr>
        <w:pStyle w:val="BodyText"/>
      </w:pPr>
      <w:r>
        <w:t xml:space="preserve">7. Limitations</w:t>
      </w:r>
    </w:p>
    <w:p>
      <w:pPr>
        <w:pStyle w:val="BodyText"/>
      </w:pPr>
      <w:r>
        <w:t xml:space="preserve">Potential limitations of this study include:</w:t>
      </w:r>
    </w:p>
    <w:p>
      <w:pPr>
        <w:numPr>
          <w:ilvl w:val="0"/>
          <w:numId w:val="1006"/>
        </w:numPr>
        <w:pStyle w:val="Compact"/>
      </w:pPr>
      <w:r>
        <w:t xml:space="preserve">The generalizability of findings beyond Tashkent to other regions of Uzbekistan.</w:t>
      </w:r>
    </w:p>
    <w:p>
      <w:pPr>
        <w:numPr>
          <w:ilvl w:val="0"/>
          <w:numId w:val="1006"/>
        </w:numPr>
        <w:pStyle w:val="Compact"/>
      </w:pPr>
      <w:r>
        <w:t xml:space="preserve">The possibility of selection bias in participant recruitment.</w:t>
      </w:r>
    </w:p>
    <w:p>
      <w:pPr>
        <w:numPr>
          <w:ilvl w:val="0"/>
          <w:numId w:val="1006"/>
        </w:numPr>
        <w:pStyle w:val="Compact"/>
      </w:pPr>
      <w:r>
        <w:t xml:space="preserve">The influence of external factors (e.g., political events, policy changes) on the Politician's responsiveness during the study period.</w:t>
      </w:r>
    </w:p>
    <w:p>
      <w:pPr>
        <w:pStyle w:val="FirstParagraph"/>
      </w:pPr>
      <w:r>
        <w:t xml:space="preserve">8. Conclusion</w:t>
      </w:r>
    </w:p>
    <w:p>
      <w:pPr>
        <w:pStyle w:val="BodyText"/>
      </w:pPr>
      <w:r>
        <w:t xml:space="preserve">This Experiment Protocol provides a structured approach to investigating the impact of digital engagement on Politician responsiveness in Uzbekistan Tashkent. By employing rigorous methods and adhering to ethical standards, the study aims to generate valuable insights that can contribute to the advancement of digital governance and citizen engagement in the region.</w:t>
      </w:r>
    </w:p>
    <w:p>
      <w:pPr>
        <w:pStyle w:val="BodyText"/>
      </w:pPr>
      <w:r>
        <w:rPr>
          <w:bCs/>
          <w:b/>
        </w:rPr>
        <w:t xml:space="preserve">Prepared by:</w:t>
      </w:r>
      <w:r>
        <w:t xml:space="preserve"> </w:t>
      </w:r>
      <w:r>
        <w:t xml:space="preserve">Research Team</w:t>
      </w:r>
      <w:r>
        <w:br/>
      </w:r>
      <w:r>
        <w:rPr>
          <w:bCs/>
          <w:b/>
        </w:rPr>
        <w:t xml:space="preserve">Affiliation:</w:t>
      </w:r>
      <w:r>
        <w:t xml:space="preserve"> </w:t>
      </w:r>
      <w:r>
        <w:t xml:space="preserve">Institute for Public Policy and Digital Governance</w:t>
      </w:r>
      <w:r>
        <w:br/>
      </w:r>
      <w:r>
        <w:rPr>
          <w:bCs/>
          <w:b/>
        </w:rPr>
        <w:t xml:space="preserve">Contact:</w:t>
      </w:r>
      <w:r>
        <w:t xml:space="preserve"> </w:t>
      </w:r>
      <w:r>
        <w:t xml:space="preserve">research@institute.uz</w:t>
      </w:r>
      <w:r>
        <w:br/>
      </w:r>
      <w:r>
        <w:rPr>
          <w:bCs/>
          <w:b/>
        </w:rPr>
        <w:t xml:space="preserve">Disclaimer:</w:t>
      </w:r>
      <w:r>
        <w:t xml:space="preserve"> </w:t>
      </w:r>
      <w:r>
        <w:t xml:space="preserve">This document is for research purposes only and does not constitute official government policy.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Engagement in Uzbekistan Tashkent</dc:title>
  <dc:creator/>
  <dc:language>en</dc:language>
  <cp:keywords/>
  <dcterms:created xsi:type="dcterms:W3CDTF">2026-10-10T07:34:27Z</dcterms:created>
  <dcterms:modified xsi:type="dcterms:W3CDTF">2026-10-10T07:34:27Z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