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Egypt</w:t>
      </w:r>
      <w:r>
        <w:t xml:space="preserve"> </w:t>
      </w:r>
      <w:r>
        <w:t xml:space="preserve">Alexandria</w:t>
      </w:r>
    </w:p>
    <w:bookmarkStart w:id="20" w:name="Xa77b3b43d1af42cfa292400fdbd8a236c0de61f"/>
    <w:p>
      <w:pPr>
        <w:pStyle w:val="Heading1"/>
      </w:pPr>
      <w:r>
        <w:t xml:space="preserve">Experiment Protocol: Project Manager Efficacy in Egypt Alexandria</w:t>
      </w:r>
    </w:p>
    <w:p>
      <w:pPr>
        <w:pStyle w:val="FirstParagraph"/>
      </w:pPr>
      <w:r>
        <w:rPr>
          <w:bCs/>
          <w:b/>
        </w:rPr>
        <w:t xml:space="preserve">Document ID:</w:t>
      </w:r>
      <w:r>
        <w:t xml:space="preserve"> </w:t>
      </w:r>
      <w:r>
        <w:t xml:space="preserve">EP-PM-EGY-ALX-2024-001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Egypt Alexandria</w:t>
      </w:r>
    </w:p>
    <w:p>
      <w:pPr>
        <w:pStyle w:val="BodyText"/>
      </w:pPr>
      <w:r>
        <w:rPr>
          <w:bCs/>
          <w:b/>
        </w:rPr>
        <w:t xml:space="preserve">Prepared By:</w:t>
      </w:r>
      <w:r>
        <w:t xml:space="preserve"> </w:t>
      </w:r>
      <w:r>
        <w:t xml:space="preserve">Technical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strategic impact of a Project Manager operating within the unique socio-economic and technological landscape of Egypt Alexandria. Alexandria, as a major Mediterranean hub and a growing center for technology and logistics in Egypt, presents specific challenges and opportunities for project management. These include navigating local regulatory frameworks, managing multicultural teams, addressing infrastructure variability, and aligning with national development goals such as Egypt Vision 2030.</w:t>
      </w:r>
    </w:p>
    <w:p>
      <w:pPr>
        <w:pStyle w:val="BodyText"/>
      </w:pPr>
      <w:r>
        <w:t xml:space="preserve">The purpose of this experiment is to systematically assess how a Project Manager’s methodologies, communication strategies, and risk management practices influence project outcomes in this specific geographic and cultural context. The findings will contribute to best practices for project leadership in emerging markets within the Middle East and North Africa (MENA) region.</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measure the effectiveness of standard Project Manager methodologies (e.g., Agile, Waterfall, Hybrid) when applied to projects in Egypt Alexandria.</w:t>
      </w:r>
    </w:p>
    <w:p>
      <w:pPr>
        <w:numPr>
          <w:ilvl w:val="0"/>
          <w:numId w:val="1001"/>
        </w:numPr>
        <w:pStyle w:val="Compact"/>
      </w:pPr>
      <w:r>
        <w:t xml:space="preserve">To evaluate the Project Manager’s ability to navigate local stakeholder expectations, including government entities, private sector partners, and community groups.</w:t>
      </w:r>
    </w:p>
    <w:p>
      <w:pPr>
        <w:numPr>
          <w:ilvl w:val="0"/>
          <w:numId w:val="1001"/>
        </w:numPr>
        <w:pStyle w:val="Compact"/>
      </w:pPr>
      <w:r>
        <w:t xml:space="preserve">To assess the impact of cultural intelligence and language proficiency on team cohesion and project delivery.</w:t>
      </w:r>
    </w:p>
    <w:p>
      <w:pPr>
        <w:numPr>
          <w:ilvl w:val="0"/>
          <w:numId w:val="1001"/>
        </w:numPr>
        <w:pStyle w:val="Compact"/>
      </w:pPr>
      <w:r>
        <w:t xml:space="preserve">To identify specific risk factors prevalent in Egypt Alexandria that require specialized mitigation strategies by the Project Manager.</w:t>
      </w:r>
    </w:p>
    <w:p>
      <w:pPr>
        <w:numPr>
          <w:ilvl w:val="0"/>
          <w:numId w:val="1001"/>
        </w:numPr>
        <w:pStyle w:val="Compact"/>
      </w:pPr>
      <w:r>
        <w:t xml:space="preserve">To develop a localized framework for Project Manager competency that aligns with both international standards and regional realities.</w:t>
      </w:r>
    </w:p>
    <w:bookmarkEnd w:id="22"/>
    <w:bookmarkStart w:id="23" w:name="scope"/>
    <w:p>
      <w:pPr>
        <w:pStyle w:val="Heading2"/>
      </w:pPr>
      <w:r>
        <w:t xml:space="preserve">3. Scope</w:t>
      </w:r>
    </w:p>
    <w:p>
      <w:pPr>
        <w:pStyle w:val="FirstParagraph"/>
      </w:pPr>
      <w:r>
        <w:t xml:space="preserve">This experiment will focus on mid-to-large scale projects located within the administrative boundaries of Egypt Alexandria. The scope includes:</w:t>
      </w:r>
    </w:p>
    <w:p>
      <w:pPr>
        <w:numPr>
          <w:ilvl w:val="0"/>
          <w:numId w:val="1002"/>
        </w:numPr>
        <w:pStyle w:val="Compact"/>
      </w:pPr>
      <w:r>
        <w:t xml:space="preserve">Projects in the technology, infrastructure, logistics, and renewable energy sectors.</w:t>
      </w:r>
    </w:p>
    <w:p>
      <w:pPr>
        <w:numPr>
          <w:ilvl w:val="0"/>
          <w:numId w:val="1002"/>
        </w:numPr>
        <w:pStyle w:val="Compact"/>
      </w:pPr>
      <w:r>
        <w:t xml:space="preserve">Project teams comprising local Egyptian professionals, expatriates, and international consultants.</w:t>
      </w:r>
    </w:p>
    <w:p>
      <w:pPr>
        <w:numPr>
          <w:ilvl w:val="0"/>
          <w:numId w:val="1002"/>
        </w:numPr>
        <w:pStyle w:val="Compact"/>
      </w:pPr>
      <w:r>
        <w:t xml:space="preserve">Project durations ranging from six months to two years.</w:t>
      </w:r>
    </w:p>
    <w:p>
      <w:pPr>
        <w:numPr>
          <w:ilvl w:val="0"/>
          <w:numId w:val="1002"/>
        </w:numPr>
        <w:pStyle w:val="Compact"/>
      </w:pPr>
      <w:r>
        <w:t xml:space="preserve">Direct observation and data collection related to the Project Manager’s decision-making processes, communication patterns, and conflict resolution techniques.</w:t>
      </w:r>
    </w:p>
    <w:p>
      <w:pPr>
        <w:pStyle w:val="FirstParagraph"/>
      </w:pPr>
      <w:r>
        <w:t xml:space="preserve">Projects outside the Alexandria governorate or those in highly regulated sectors such as defense or healthcare will be excluded unless explicitly approved by the oversight committee.</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This experiment will employ a mixed-methods approach, combining quantitative metrics with qualitative assessments. The design includes:</w:t>
      </w:r>
    </w:p>
    <w:p>
      <w:pPr>
        <w:numPr>
          <w:ilvl w:val="0"/>
          <w:numId w:val="1003"/>
        </w:numPr>
        <w:pStyle w:val="Compact"/>
      </w:pPr>
      <w:r>
        <w:rPr>
          <w:bCs/>
          <w:b/>
        </w:rPr>
        <w:t xml:space="preserve">Control Group:</w:t>
      </w:r>
      <w:r>
        <w:t xml:space="preserve"> </w:t>
      </w:r>
      <w:r>
        <w:t xml:space="preserve">Projects managed using standardized international Project Manager practices without localization adjustments.</w:t>
      </w:r>
    </w:p>
    <w:p>
      <w:pPr>
        <w:numPr>
          <w:ilvl w:val="0"/>
          <w:numId w:val="1003"/>
        </w:numPr>
        <w:pStyle w:val="Compact"/>
      </w:pPr>
      <w:r>
        <w:rPr>
          <w:bCs/>
          <w:b/>
        </w:rPr>
        <w:t xml:space="preserve">Experimental Group:</w:t>
      </w:r>
      <w:r>
        <w:t xml:space="preserve"> </w:t>
      </w:r>
      <w:r>
        <w:t xml:space="preserve">Projects managed by a Project Manager who adapts methodologies to the cultural, regulatory, and operational context of Egypt Alexandria.</w:t>
      </w:r>
    </w:p>
    <w:bookmarkEnd w:id="24"/>
    <w:bookmarkStart w:id="25" w:name="data-collection"/>
    <w:p>
      <w:pPr>
        <w:pStyle w:val="Heading3"/>
      </w:pPr>
      <w:r>
        <w:t xml:space="preserve">4.2 Data Collection</w:t>
      </w:r>
    </w:p>
    <w:p>
      <w:pPr>
        <w:pStyle w:val="FirstParagraph"/>
      </w:pPr>
      <w:r>
        <w:t xml:space="preserve">Data will be collected through the following instruments:</w:t>
      </w:r>
    </w:p>
    <w:p>
      <w:pPr>
        <w:numPr>
          <w:ilvl w:val="0"/>
          <w:numId w:val="1004"/>
        </w:numPr>
        <w:pStyle w:val="Compact"/>
      </w:pPr>
      <w:r>
        <w:rPr>
          <w:bCs/>
          <w:b/>
        </w:rPr>
        <w:t xml:space="preserve">Performance Metrics:</w:t>
      </w:r>
      <w:r>
        <w:t xml:space="preserve"> </w:t>
      </w:r>
      <w:r>
        <w:t xml:space="preserve">On-time delivery rates, budget adherence, scope change frequency, and quality assurance scores.</w:t>
      </w:r>
    </w:p>
    <w:p>
      <w:pPr>
        <w:numPr>
          <w:ilvl w:val="0"/>
          <w:numId w:val="1004"/>
        </w:numPr>
        <w:pStyle w:val="Compact"/>
      </w:pPr>
      <w:r>
        <w:rPr>
          <w:bCs/>
          <w:b/>
        </w:rPr>
        <w:t xml:space="preserve">Surveys and Interviews:</w:t>
      </w:r>
      <w:r>
        <w:t xml:space="preserve"> </w:t>
      </w:r>
      <w:r>
        <w:t xml:space="preserve">Structured questionnaires and semi-structured interviews with team members, stakeholders, and the Project Manager.</w:t>
      </w:r>
    </w:p>
    <w:p>
      <w:pPr>
        <w:numPr>
          <w:ilvl w:val="0"/>
          <w:numId w:val="1004"/>
        </w:numPr>
        <w:pStyle w:val="Compact"/>
      </w:pPr>
      <w:r>
        <w:rPr>
          <w:bCs/>
          <w:b/>
        </w:rPr>
        <w:t xml:space="preserve">Observational Logs:</w:t>
      </w:r>
      <w:r>
        <w:t xml:space="preserve"> </w:t>
      </w:r>
      <w:r>
        <w:t xml:space="preserve">Detailed records of meetings, decision points, and conflict resolution events.</w:t>
      </w:r>
    </w:p>
    <w:p>
      <w:pPr>
        <w:numPr>
          <w:ilvl w:val="0"/>
          <w:numId w:val="1004"/>
        </w:numPr>
        <w:pStyle w:val="Compact"/>
      </w:pPr>
      <w:r>
        <w:rPr>
          <w:bCs/>
          <w:b/>
        </w:rPr>
        <w:t xml:space="preserve">Document Analysis:</w:t>
      </w:r>
      <w:r>
        <w:t xml:space="preserve"> </w:t>
      </w:r>
      <w:r>
        <w:t xml:space="preserve">Review of project plans, risk registers, communication logs, and post-project evaluations.</w:t>
      </w:r>
    </w:p>
    <w:bookmarkEnd w:id="25"/>
    <w:bookmarkStart w:id="26"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Project Manager’s adaptation strategies (e.g., localization of communication, stakeholder engagement tactics).</w:t>
            </w:r>
          </w:p>
        </w:tc>
      </w:tr>
      <w:tr>
        <w:tc>
          <w:tcPr/>
          <w:p>
            <w:pPr>
              <w:pStyle w:val="Compact"/>
              <w:jc w:val="left"/>
            </w:pPr>
            <w:r>
              <w:t xml:space="preserve">Dependent</w:t>
            </w:r>
          </w:p>
        </w:tc>
        <w:tc>
          <w:tcPr/>
          <w:p>
            <w:pPr>
              <w:pStyle w:val="Compact"/>
              <w:jc w:val="left"/>
            </w:pPr>
            <w:r>
              <w:t xml:space="preserve">Project success indicators (schedule, budget, quality, stakeholder satisfaction).</w:t>
            </w:r>
          </w:p>
        </w:tc>
      </w:tr>
      <w:tr>
        <w:tc>
          <w:tcPr/>
          <w:p>
            <w:pPr>
              <w:pStyle w:val="Compact"/>
              <w:jc w:val="left"/>
            </w:pPr>
            <w:r>
              <w:t xml:space="preserve">Controlled</w:t>
            </w:r>
          </w:p>
        </w:tc>
        <w:tc>
          <w:tcPr/>
          <w:p>
            <w:pPr>
              <w:pStyle w:val="Compact"/>
              <w:jc w:val="left"/>
            </w:pPr>
            <w:r>
              <w:t xml:space="preserve">Project size, sector, team composition, and external market conditions.</w:t>
            </w:r>
          </w:p>
        </w:tc>
      </w:tr>
    </w:tbl>
    <w:bookmarkEnd w:id="26"/>
    <w:bookmarkEnd w:id="27"/>
    <w:bookmarkStart w:id="28" w:name="ethical-considerations"/>
    <w:p>
      <w:pPr>
        <w:pStyle w:val="Heading2"/>
      </w:pPr>
      <w:r>
        <w:t xml:space="preserve">5. Ethical Considerations</w:t>
      </w:r>
    </w:p>
    <w:p>
      <w:pPr>
        <w:pStyle w:val="FirstParagraph"/>
      </w:pPr>
      <w:r>
        <w:t xml:space="preserve">All participants in this experiment will provide informed consent. Confidentiality and data protection will be maintained in accordance with Egyptian data protection laws and international ethical standards. No individual or organization will be identified without explicit permission. The experiment will avoid any practices that could disrupt ongoing operations or harm stakeholder relationships.</w:t>
      </w:r>
    </w:p>
    <w:bookmarkEnd w:id="28"/>
    <w:bookmarkStart w:id="29" w:name="timeline"/>
    <w:p>
      <w:pPr>
        <w:pStyle w:val="Heading2"/>
      </w:pPr>
      <w:r>
        <w:t xml:space="preserve">6. Timeline</w:t>
      </w:r>
    </w:p>
    <w:p>
      <w:pPr>
        <w:numPr>
          <w:ilvl w:val="0"/>
          <w:numId w:val="1005"/>
        </w:numPr>
        <w:pStyle w:val="Compact"/>
      </w:pPr>
      <w:r>
        <w:rPr>
          <w:bCs/>
          <w:b/>
        </w:rPr>
        <w:t xml:space="preserve">Phase 1 (Months 1–2):</w:t>
      </w:r>
      <w:r>
        <w:t xml:space="preserve"> </w:t>
      </w:r>
      <w:r>
        <w:t xml:space="preserve">Preparation, stakeholder engagement, and baseline data collection.</w:t>
      </w:r>
    </w:p>
    <w:p>
      <w:pPr>
        <w:numPr>
          <w:ilvl w:val="0"/>
          <w:numId w:val="1005"/>
        </w:numPr>
        <w:pStyle w:val="Compact"/>
      </w:pPr>
      <w:r>
        <w:rPr>
          <w:bCs/>
          <w:b/>
        </w:rPr>
        <w:t xml:space="preserve">Phase 2 (Months 3–10):</w:t>
      </w:r>
      <w:r>
        <w:t xml:space="preserve"> </w:t>
      </w:r>
      <w:r>
        <w:t xml:space="preserve">Implementation of experimental and control group projects.</w:t>
      </w:r>
    </w:p>
    <w:p>
      <w:pPr>
        <w:numPr>
          <w:ilvl w:val="0"/>
          <w:numId w:val="1005"/>
        </w:numPr>
        <w:pStyle w:val="Compact"/>
      </w:pPr>
      <w:r>
        <w:rPr>
          <w:bCs/>
          <w:b/>
        </w:rPr>
        <w:t xml:space="preserve">Phase 3 (Months 11–12):</w:t>
      </w:r>
      <w:r>
        <w:t xml:space="preserve"> </w:t>
      </w:r>
      <w:r>
        <w:t xml:space="preserve">Data analysis, reporting, and dissemination of findings.</w:t>
      </w:r>
    </w:p>
    <w:bookmarkEnd w:id="29"/>
    <w:bookmarkStart w:id="30" w:name="expected-outcomes"/>
    <w:p>
      <w:pPr>
        <w:pStyle w:val="Heading2"/>
      </w:pPr>
      <w:r>
        <w:t xml:space="preserve">7. Expected Outcomes</w:t>
      </w:r>
    </w:p>
    <w:p>
      <w:pPr>
        <w:pStyle w:val="FirstParagraph"/>
      </w:pPr>
      <w:r>
        <w:t xml:space="preserve">This Experiment Protocol anticipates the following outcomes:</w:t>
      </w:r>
    </w:p>
    <w:p>
      <w:pPr>
        <w:numPr>
          <w:ilvl w:val="0"/>
          <w:numId w:val="1006"/>
        </w:numPr>
        <w:pStyle w:val="Compact"/>
      </w:pPr>
      <w:r>
        <w:t xml:space="preserve">Identification of best practices for Project Manager roles tailored to Egypt Alexandria’s environment.</w:t>
      </w:r>
    </w:p>
    <w:p>
      <w:pPr>
        <w:numPr>
          <w:ilvl w:val="0"/>
          <w:numId w:val="1006"/>
        </w:numPr>
        <w:pStyle w:val="Compact"/>
      </w:pPr>
      <w:r>
        <w:t xml:space="preserve">Enhanced understanding of how cultural and regulatory factors influence project management effectiveness.</w:t>
      </w:r>
    </w:p>
    <w:p>
      <w:pPr>
        <w:numPr>
          <w:ilvl w:val="0"/>
          <w:numId w:val="1006"/>
        </w:numPr>
        <w:pStyle w:val="Compact"/>
      </w:pPr>
      <w:r>
        <w:t xml:space="preserve">Development of training modules and guidelines for Project Managers operating in similar emerging market contexts.</w:t>
      </w:r>
    </w:p>
    <w:p>
      <w:pPr>
        <w:numPr>
          <w:ilvl w:val="0"/>
          <w:numId w:val="1006"/>
        </w:numPr>
        <w:pStyle w:val="Compact"/>
      </w:pPr>
      <w:r>
        <w:t xml:space="preserve">Improved project success rates through evidence-based adaptation of management strategies.</w:t>
      </w:r>
    </w:p>
    <w:bookmarkEnd w:id="30"/>
    <w:bookmarkStart w:id="31" w:name="conclusion"/>
    <w:p>
      <w:pPr>
        <w:pStyle w:val="Heading2"/>
      </w:pPr>
      <w:r>
        <w:t xml:space="preserve">8. Conclusion</w:t>
      </w:r>
    </w:p>
    <w:p>
      <w:pPr>
        <w:pStyle w:val="FirstParagraph"/>
      </w:pPr>
      <w:r>
        <w:t xml:space="preserve">This Experiment Protocol provides a structured approach to evaluating the role and impact of a Project Manager within the specific context of Egypt Alexandria. By combining rigorous methodology with localized insights, the experiment aims to generate actionable knowledge that benefits both local organizations and international stakeholders operating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Egypt Alexandria</dc:title>
  <dc:creator/>
  <dc:language>en</dc:language>
  <cp:keywords/>
  <dcterms:created xsi:type="dcterms:W3CDTF">2026-10-10T03:41:44Z</dcterms:created>
  <dcterms:modified xsi:type="dcterms:W3CDTF">2026-10-10T03:41:44Z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