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Tehran</w:t>
      </w:r>
    </w:p>
    <w:bookmarkStart w:id="32" w:name="X098b5f4d9a5855fc292bf40dbace32467ec4661"/>
    <w:p>
      <w:pPr>
        <w:pStyle w:val="Heading1"/>
      </w:pPr>
      <w:r>
        <w:t xml:space="preserve">Experiment Protocol: Project Manager Efficacy in Iran Tehran</w:t>
      </w:r>
    </w:p>
    <w:p>
      <w:pPr>
        <w:pStyle w:val="FirstParagraph"/>
      </w:pPr>
      <w:r>
        <w:rPr>
          <w:bCs/>
          <w:b/>
        </w:rPr>
        <w:t xml:space="preserve">Document ID:</w:t>
      </w:r>
      <w:r>
        <w:t xml:space="preserve"> </w:t>
      </w:r>
      <w:r>
        <w:t xml:space="preserve">EP-PM-TEH-2024-001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Tehran, Iran</w:t>
      </w:r>
    </w:p>
    <w:p>
      <w:pPr>
        <w:pStyle w:val="BodyText"/>
      </w:pPr>
      <w:r>
        <w:rPr>
          <w:bCs/>
          <w:b/>
        </w:rPr>
        <w:t xml:space="preserve">Subject:</w:t>
      </w:r>
      <w:r>
        <w:t xml:space="preserve"> </w:t>
      </w:r>
      <w:r>
        <w:t xml:space="preserve">Comparative Analysis of Project Manager Methodologies in High-Volatility Environments</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adaptability, and strategic impact of a Project Manager operating within the specific socio-economic and technological landscape of Iran Tehran. The capital city of Iran presents a unique environment characterized by rapid technological adoption, complex regulatory frameworks, and significant economic fluctuations. This experiment aims to determine how a Project Manager can optimize delivery outcomes under these specific constraints.</w:t>
      </w:r>
    </w:p>
    <w:p>
      <w:pPr>
        <w:pStyle w:val="BodyText"/>
      </w:pPr>
      <w:r>
        <w:t xml:space="preserve">The role of the Project Manager in this context is not merely administrative but strategic. They must navigate local cultural nuances, manage stakeholder expectations across diverse sectors, and implement robust risk mitigation strategies. This protocol serves as the governing document for the experimental phase, ensuring that data collection is rigorous, ethical, and relevant to the Tehran market.</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effectiveness of hybrid project management methodologies (combining Agile and Waterfall) within the Tehran business ecosystem.</w:t>
      </w:r>
    </w:p>
    <w:p>
      <w:pPr>
        <w:numPr>
          <w:ilvl w:val="0"/>
          <w:numId w:val="1001"/>
        </w:numPr>
        <w:pStyle w:val="Compact"/>
      </w:pPr>
      <w:r>
        <w:t xml:space="preserve">To measure the Project Manager's ability to mitigate risks associated with local regulatory changes and economic volatility.</w:t>
      </w:r>
    </w:p>
    <w:p>
      <w:pPr>
        <w:numPr>
          <w:ilvl w:val="0"/>
          <w:numId w:val="1001"/>
        </w:numPr>
        <w:pStyle w:val="Compact"/>
      </w:pPr>
      <w:r>
        <w:t xml:space="preserve">To assess the impact of cultural intelligence on team cohesion and stakeholder communication in Iran Tehran.</w:t>
      </w:r>
    </w:p>
    <w:p>
      <w:pPr>
        <w:numPr>
          <w:ilvl w:val="0"/>
          <w:numId w:val="1001"/>
        </w:numPr>
        <w:pStyle w:val="Compact"/>
      </w:pPr>
      <w:r>
        <w:t xml:space="preserve">To establish a baseline for Project Manager performance metrics specific to the Iranian market.</w:t>
      </w:r>
    </w:p>
    <w:bookmarkEnd w:id="21"/>
    <w:bookmarkStart w:id="22" w:name="scope-and-context"/>
    <w:p>
      <w:pPr>
        <w:pStyle w:val="Heading2"/>
      </w:pPr>
      <w:r>
        <w:t xml:space="preserve">3. Scope and Context</w:t>
      </w:r>
    </w:p>
    <w:p>
      <w:pPr>
        <w:pStyle w:val="FirstParagraph"/>
      </w:pPr>
      <w:r>
        <w:t xml:space="preserve">The experiment will be conducted within the metropolitan area of Tehran, focusing on technology and infrastructure projects. The scope includes the Project Manager's interactions with internal teams, external vendors, and government regulatory bodies. The context of Iran Tehran is critical; the Project Manager must operate within a framework that respects local business etiquette, legal requirements, and communication styles.</w:t>
      </w:r>
    </w:p>
    <w:p>
      <w:pPr>
        <w:pStyle w:val="BodyText"/>
      </w:pPr>
      <w:r>
        <w:t xml:space="preserve">The experiment will run for a duration of six months, covering at least two full project lifecycles to ensure data reliability. The Project Manager will be tasked with delivering a defined set of objectives while adhering to strict budgetary and temporal constraints.</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The Project Manager selected for this experiment must possess a minimum of five years of experience in project management, with at least two years of experience in the Middle East or Iran. They must demonstrate proficiency in both English and Persian to ensure effective communication across all stakeholder levels.</w:t>
      </w:r>
    </w:p>
    <w:bookmarkEnd w:id="23"/>
    <w:bookmarkStart w:id="24" w:name="experimental-design"/>
    <w:p>
      <w:pPr>
        <w:pStyle w:val="Heading3"/>
      </w:pPr>
      <w:r>
        <w:t xml:space="preserve">4.2. Experimental Design</w:t>
      </w:r>
    </w:p>
    <w:p>
      <w:pPr>
        <w:pStyle w:val="FirstParagraph"/>
      </w:pPr>
      <w:r>
        <w:t xml:space="preserve">This experiment utilizes a controlled observational design. The Project Manager will be provided with a standardized project charter but will have autonomy in selecting specific management tools and communication strategies. The experiment will compare the Project Manager's performance against established benchmarks for similar projects in Tehran.</w:t>
      </w:r>
    </w:p>
    <w:bookmarkEnd w:id="24"/>
    <w:bookmarkStart w:id="25" w:name="data-collection"/>
    <w:p>
      <w:pPr>
        <w:pStyle w:val="Heading3"/>
      </w:pPr>
      <w:r>
        <w:t xml:space="preserve">4.3. Data Collection</w:t>
      </w:r>
    </w:p>
    <w:p>
      <w:pPr>
        <w:pStyle w:val="FirstParagraph"/>
      </w:pPr>
      <w:r>
        <w:t xml:space="preserve">Data will be collected through multiple channels to ensure a comprehensive view of the Project Manager's performance:</w:t>
      </w:r>
    </w:p>
    <w:p>
      <w:pPr>
        <w:numPr>
          <w:ilvl w:val="0"/>
          <w:numId w:val="1002"/>
        </w:numPr>
        <w:pStyle w:val="Compact"/>
      </w:pPr>
      <w:r>
        <w:rPr>
          <w:bCs/>
          <w:b/>
        </w:rPr>
        <w:t xml:space="preserve">Quantitative Metrics:</w:t>
      </w:r>
      <w:r>
        <w:t xml:space="preserve"> </w:t>
      </w:r>
      <w:r>
        <w:t xml:space="preserve">Project completion rates, budget variance, schedule adherence, and defect density.</w:t>
      </w:r>
    </w:p>
    <w:p>
      <w:pPr>
        <w:numPr>
          <w:ilvl w:val="0"/>
          <w:numId w:val="1002"/>
        </w:numPr>
        <w:pStyle w:val="Compact"/>
      </w:pPr>
      <w:r>
        <w:rPr>
          <w:bCs/>
          <w:b/>
        </w:rPr>
        <w:t xml:space="preserve">Qualitative Metrics:</w:t>
      </w:r>
      <w:r>
        <w:t xml:space="preserve"> </w:t>
      </w:r>
      <w:r>
        <w:t xml:space="preserve">Stakeholder satisfaction surveys, team feedback sessions, and observational notes on decision-making processes.</w:t>
      </w:r>
    </w:p>
    <w:p>
      <w:pPr>
        <w:numPr>
          <w:ilvl w:val="0"/>
          <w:numId w:val="1002"/>
        </w:numPr>
        <w:pStyle w:val="Compact"/>
      </w:pPr>
      <w:r>
        <w:rPr>
          <w:bCs/>
          <w:b/>
        </w:rPr>
        <w:t xml:space="preserve">Contextual Data:</w:t>
      </w:r>
      <w:r>
        <w:t xml:space="preserve"> </w:t>
      </w:r>
      <w:r>
        <w:t xml:space="preserve">Records of interactions with regulatory bodies and documentation of risk mitigation actions taken in response to local events.</w:t>
      </w:r>
    </w:p>
    <w:bookmarkEnd w:id="25"/>
    <w:bookmarkEnd w:id="26"/>
    <w:bookmarkStart w:id="27" w:name="key-performance-indicators-kpis"/>
    <w:p>
      <w:pPr>
        <w:pStyle w:val="Heading2"/>
      </w:pPr>
      <w:r>
        <w:t xml:space="preserve">5. Key Performance Indicators (KPIs)</w:t>
      </w:r>
    </w:p>
    <w:p>
      <w:pPr>
        <w:pStyle w:val="FirstParagraph"/>
      </w:pPr>
      <w:r>
        <w:t xml:space="preserve">The following KPIs will be used to evaluate the Project Manager's performance within the Iran Tehran context: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Schedule Adherence</w:t>
            </w:r>
          </w:p>
        </w:tc>
        <w:tc>
          <w:tcPr/>
          <w:p>
            <w:pPr>
              <w:pStyle w:val="Compact"/>
              <w:jc w:val="left"/>
            </w:pPr>
            <w:r>
              <w:t xml:space="preserve">Percentage of milestones met on time.</w:t>
            </w:r>
          </w:p>
        </w:tc>
        <w:tc>
          <w:tcPr/>
          <w:p>
            <w:pPr>
              <w:pStyle w:val="Compact"/>
              <w:jc w:val="left"/>
            </w:pPr>
            <w:r>
              <w:t xml:space="preserve">&gt; 90%</w:t>
            </w:r>
          </w:p>
        </w:tc>
      </w:tr>
      <w:tr>
        <w:tc>
          <w:tcPr/>
          <w:p>
            <w:pPr>
              <w:pStyle w:val="Compact"/>
              <w:jc w:val="left"/>
            </w:pPr>
            <w:r>
              <w:t xml:space="preserve">Budget Variance</w:t>
            </w:r>
          </w:p>
        </w:tc>
        <w:tc>
          <w:tcPr/>
          <w:p>
            <w:pPr>
              <w:pStyle w:val="Compact"/>
              <w:jc w:val="left"/>
            </w:pPr>
            <w:r>
              <w:t xml:space="preserve">Deviation from the approved budget.</w:t>
            </w:r>
          </w:p>
        </w:tc>
        <w:tc>
          <w:tcPr/>
          <w:p>
            <w:pPr>
              <w:pStyle w:val="Compact"/>
              <w:jc w:val="left"/>
            </w:pPr>
            <w:r>
              <w:t xml:space="preserve">&lt; 5%</w:t>
            </w:r>
          </w:p>
        </w:tc>
      </w:tr>
      <w:tr>
        <w:tc>
          <w:tcPr/>
          <w:p>
            <w:pPr>
              <w:pStyle w:val="Compact"/>
              <w:jc w:val="left"/>
            </w:pPr>
            <w:r>
              <w:t xml:space="preserve">Stakeholder Satisfaction</w:t>
            </w:r>
          </w:p>
        </w:tc>
        <w:tc>
          <w:tcPr/>
          <w:p>
            <w:pPr>
              <w:pStyle w:val="Compact"/>
              <w:jc w:val="left"/>
            </w:pPr>
            <w:r>
              <w:t xml:space="preserve">Average score from stakeholder surveys.</w:t>
            </w:r>
          </w:p>
        </w:tc>
        <w:tc>
          <w:tcPr/>
          <w:p>
            <w:pPr>
              <w:pStyle w:val="Compact"/>
              <w:jc w:val="left"/>
            </w:pPr>
            <w:r>
              <w:t xml:space="preserve">&gt; 4.5/5</w:t>
            </w:r>
          </w:p>
        </w:tc>
      </w:tr>
      <w:tr>
        <w:tc>
          <w:tcPr/>
          <w:p>
            <w:pPr>
              <w:pStyle w:val="Compact"/>
              <w:jc w:val="left"/>
            </w:pPr>
            <w:r>
              <w:t xml:space="preserve">Risk Mitigation Effectiveness</w:t>
            </w:r>
          </w:p>
        </w:tc>
        <w:tc>
          <w:tcPr/>
          <w:p>
            <w:pPr>
              <w:pStyle w:val="Compact"/>
              <w:jc w:val="left"/>
            </w:pPr>
            <w:r>
              <w:t xml:space="preserve">Number of risks successfully mitigated vs. realized.</w:t>
            </w:r>
          </w:p>
        </w:tc>
        <w:tc>
          <w:tcPr/>
          <w:p>
            <w:pPr>
              <w:pStyle w:val="Compact"/>
              <w:jc w:val="left"/>
            </w:pPr>
            <w:r>
              <w:t xml:space="preserve">&gt; 80%</w:t>
            </w:r>
          </w:p>
        </w:tc>
      </w:tr>
      <w:tr>
        <w:tc>
          <w:tcPr/>
          <w:p>
            <w:pPr>
              <w:pStyle w:val="Compact"/>
              <w:jc w:val="left"/>
            </w:pPr>
            <w:r>
              <w:t xml:space="preserve">Team Retention</w:t>
            </w:r>
          </w:p>
        </w:tc>
        <w:tc>
          <w:tcPr/>
          <w:p>
            <w:pPr>
              <w:pStyle w:val="Compact"/>
              <w:jc w:val="left"/>
            </w:pPr>
            <w:r>
              <w:t xml:space="preserve">Percentage of core team members retained throughout the project.</w:t>
            </w:r>
          </w:p>
        </w:tc>
        <w:tc>
          <w:tcPr/>
          <w:p>
            <w:pPr>
              <w:pStyle w:val="Compact"/>
              <w:jc w:val="left"/>
            </w:pPr>
            <w:r>
              <w:t xml:space="preserve">&gt; 95%</w:t>
            </w:r>
          </w:p>
        </w:tc>
      </w:tr>
    </w:tbl>
    <w:bookmarkEnd w:id="27"/>
    <w:bookmarkStart w:id="28" w:name="risk-management"/>
    <w:p>
      <w:pPr>
        <w:pStyle w:val="Heading2"/>
      </w:pPr>
      <w:r>
        <w:t xml:space="preserve">6. Risk Management</w:t>
      </w:r>
    </w:p>
    <w:p>
      <w:pPr>
        <w:pStyle w:val="FirstParagraph"/>
      </w:pPr>
      <w:r>
        <w:t xml:space="preserve">Given the dynamic environment of Iran Tehran, the Project Manager must proactively identify and manage risks. Key risks include:</w:t>
      </w:r>
    </w:p>
    <w:p>
      <w:pPr>
        <w:numPr>
          <w:ilvl w:val="0"/>
          <w:numId w:val="1003"/>
        </w:numPr>
        <w:pStyle w:val="Compact"/>
      </w:pPr>
      <w:r>
        <w:rPr>
          <w:bCs/>
          <w:b/>
        </w:rPr>
        <w:t xml:space="preserve">Regulatory Changes:</w:t>
      </w:r>
      <w:r>
        <w:t xml:space="preserve"> </w:t>
      </w:r>
      <w:r>
        <w:t xml:space="preserve">Sudden changes in local laws or compliance requirements.</w:t>
      </w:r>
    </w:p>
    <w:p>
      <w:pPr>
        <w:numPr>
          <w:ilvl w:val="0"/>
          <w:numId w:val="1003"/>
        </w:numPr>
        <w:pStyle w:val="Compact"/>
      </w:pPr>
      <w:r>
        <w:rPr>
          <w:bCs/>
          <w:b/>
        </w:rPr>
        <w:t xml:space="preserve">Economic Volatility:</w:t>
      </w:r>
      <w:r>
        <w:t xml:space="preserve"> </w:t>
      </w:r>
      <w:r>
        <w:t xml:space="preserve">Fluctuations in currency exchange rates affecting project costs.</w:t>
      </w:r>
    </w:p>
    <w:p>
      <w:pPr>
        <w:numPr>
          <w:ilvl w:val="0"/>
          <w:numId w:val="1003"/>
        </w:numPr>
        <w:pStyle w:val="Compact"/>
      </w:pPr>
      <w:r>
        <w:rPr>
          <w:bCs/>
          <w:b/>
        </w:rPr>
        <w:t xml:space="preserve">Communication Barriers:</w:t>
      </w:r>
      <w:r>
        <w:t xml:space="preserve"> </w:t>
      </w:r>
      <w:r>
        <w:t xml:space="preserve">Misunderstandings due to language or cultural differences.</w:t>
      </w:r>
    </w:p>
    <w:p>
      <w:pPr>
        <w:numPr>
          <w:ilvl w:val="0"/>
          <w:numId w:val="1003"/>
        </w:numPr>
        <w:pStyle w:val="Compact"/>
      </w:pPr>
      <w:r>
        <w:rPr>
          <w:bCs/>
          <w:b/>
        </w:rPr>
        <w:t xml:space="preserve">Infrastructure Issues:</w:t>
      </w:r>
      <w:r>
        <w:t xml:space="preserve"> </w:t>
      </w:r>
      <w:r>
        <w:t xml:space="preserve">Interruptions in power, internet, or transportation.</w:t>
      </w:r>
    </w:p>
    <w:p>
      <w:pPr>
        <w:pStyle w:val="FirstParagraph"/>
      </w:pPr>
      <w:r>
        <w:t xml:space="preserve">The Project Manager is required to maintain a living risk register and update it weekly. Mitigation strategies must be documented and approved by the experiment oversight committee.</w:t>
      </w:r>
    </w:p>
    <w:bookmarkEnd w:id="28"/>
    <w:bookmarkStart w:id="29" w:name="ethical-considerations"/>
    <w:p>
      <w:pPr>
        <w:pStyle w:val="Heading2"/>
      </w:pPr>
      <w:r>
        <w:t xml:space="preserve">7. Ethical Considerations</w:t>
      </w:r>
    </w:p>
    <w:p>
      <w:pPr>
        <w:pStyle w:val="FirstParagraph"/>
      </w:pPr>
      <w:r>
        <w:t xml:space="preserve">This experiment adheres to strict ethical guidelines. All participants, including team members and stakeholders, will provide informed consent. Data collected will be anonymized where possible to protect individual privacy. The Project Manager will be expected to uphold the highest standards of professional conduct, respecting local cultural norms and legal requirements in Iran Tehran.</w:t>
      </w:r>
    </w:p>
    <w:bookmarkEnd w:id="29"/>
    <w:bookmarkStart w:id="30" w:name="reporting-and-analysis"/>
    <w:p>
      <w:pPr>
        <w:pStyle w:val="Heading2"/>
      </w:pPr>
      <w:r>
        <w:t xml:space="preserve">8. Reporting and Analysis</w:t>
      </w:r>
    </w:p>
    <w:p>
      <w:pPr>
        <w:pStyle w:val="FirstParagraph"/>
      </w:pPr>
      <w:r>
        <w:t xml:space="preserve">Progress reports will be submitted bi-weekly to the experiment oversight committee. A final comprehensive report will be produced at the end of the six-month period, detailing the Project Manager's performance, lessons learned, and recommendations for future project management practices in Iran Tehran. The analysis will focus on identifying best practices that can be generalized to other projects in similar environments.</w:t>
      </w:r>
    </w:p>
    <w:bookmarkEnd w:id="30"/>
    <w:bookmarkStart w:id="31" w:name="conclusion"/>
    <w:p>
      <w:pPr>
        <w:pStyle w:val="Heading2"/>
      </w:pPr>
      <w:r>
        <w:t xml:space="preserve">9. Conclusion</w:t>
      </w:r>
    </w:p>
    <w:p>
      <w:pPr>
        <w:pStyle w:val="FirstParagraph"/>
      </w:pPr>
      <w:r>
        <w:t xml:space="preserve">This Experiment Protocol provides a structured approach to evaluating the role and effectiveness of a Project Manager in the unique context of Iran Tehran. By focusing on both quantitative and qualitative metrics, and by accounting for local risks and cultural factors, this experiment aims to generate valuable insights that can enhance project management practices in the region. The findings will contribute to a deeper understanding of how Project Managers can drive success in complex, high-volatility environments.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Tehran</dc:title>
  <dc:creator/>
  <dc:language>en</dc:language>
  <cp:keywords/>
  <dcterms:created xsi:type="dcterms:W3CDTF">2026-10-10T01:46:11Z</dcterms:created>
  <dcterms:modified xsi:type="dcterms:W3CDTF">2026-10-10T01:46:11Z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