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Belgium</w:t>
      </w:r>
      <w:r>
        <w:t xml:space="preserve"> </w:t>
      </w:r>
      <w:r>
        <w:t xml:space="preserve">Brussels</w:t>
      </w:r>
    </w:p>
    <w:bookmarkStart w:id="32" w:name="X553d5a204354c74af7c8ca28836a70a0b41730e"/>
    <w:p>
      <w:pPr>
        <w:pStyle w:val="Heading1"/>
      </w:pPr>
      <w:r>
        <w:t xml:space="preserve">Experiment Protocol: Sales Executive Performance in Belgium Brussels</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performance and adaptability of a Sales Executive operating within the dynamic commercial landscape of Belgium Brussels. Brussels serves as a unique microcosm for international business, hosting the European Union institutions, NATO headquarters, and a dense concentration of multinational corporations. Consequently, the role of a Sales Executive in this region requires a distinct blend of linguistic versatility, cultural intelligence, and regulatory awareness.</w:t>
      </w:r>
    </w:p>
    <w:p>
      <w:pPr>
        <w:pStyle w:val="BodyText"/>
      </w:pPr>
      <w:r>
        <w:t xml:space="preserve">The purpose of this experiment is to evaluate specific sales methodologies when applied to the Brussels market. By isolating variables such as communication style, value proposition framing, and follow-up cadence, we aim to determine the most effective strategies for a Sales Executive to secure high-value contracts in this specific geographic and political context.</w:t>
      </w:r>
    </w:p>
    <w:bookmarkEnd w:id="20"/>
    <w:bookmarkStart w:id="21"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measure the conversion rate of a Sales Executive utilizing a localized, multilingual approach versus a standardized international approach in Belgium Brussels.</w:t>
      </w:r>
    </w:p>
    <w:p>
      <w:pPr>
        <w:numPr>
          <w:ilvl w:val="0"/>
          <w:numId w:val="1001"/>
        </w:numPr>
        <w:pStyle w:val="Compact"/>
      </w:pPr>
      <w:r>
        <w:t xml:space="preserve">To assess the impact of cultural nuance and relationship-building on the sales cycle length within the Brussels B2B sector.</w:t>
      </w:r>
    </w:p>
    <w:p>
      <w:pPr>
        <w:numPr>
          <w:ilvl w:val="0"/>
          <w:numId w:val="1001"/>
        </w:numPr>
        <w:pStyle w:val="Compact"/>
      </w:pPr>
      <w:r>
        <w:t xml:space="preserve">To identify the most effective channels for lead generation for a Sales Executive targeting EU-based stakeholders and local Belgian enterprises.</w:t>
      </w:r>
    </w:p>
    <w:p>
      <w:pPr>
        <w:numPr>
          <w:ilvl w:val="0"/>
          <w:numId w:val="1001"/>
        </w:numPr>
        <w:pStyle w:val="Compact"/>
      </w:pPr>
      <w:r>
        <w:t xml:space="preserve">To evaluate the Sales Executive's ability to navigate the complex regulatory environment of Belgium Brussels, including GDPR compliance and local commercial laws.</w:t>
      </w:r>
    </w:p>
    <w:bookmarkEnd w:id="21"/>
    <w:bookmarkStart w:id="24"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employ a randomized controlled trial (RCT) design. The Sales Executive will be divided into two distinct operational modes (A/B testing) over a period of twelve weeks. The target audience will consist of mid-to-large-sized enterprises located within the Brussels-Capital Region.</w:t>
      </w:r>
    </w:p>
    <w:bookmarkEnd w:id="22"/>
    <w:bookmarkStart w:id="23" w:name="variables"/>
    <w:p>
      <w:pPr>
        <w:pStyle w:val="Heading3"/>
      </w:pPr>
      <w:r>
        <w:t xml:space="preserve">3.2 Variables</w:t>
      </w:r>
    </w:p>
    <w:p>
      <w:pPr>
        <w:pStyle w:val="FirstParagraph"/>
      </w:pPr>
      <w:r>
        <w:rPr>
          <w:bCs/>
          <w:b/>
        </w:rPr>
        <w:t xml:space="preserve">Independent Variables:</w:t>
      </w:r>
    </w:p>
    <w:p>
      <w:pPr>
        <w:numPr>
          <w:ilvl w:val="0"/>
          <w:numId w:val="1002"/>
        </w:numPr>
        <w:pStyle w:val="Compact"/>
      </w:pPr>
      <w:r>
        <w:rPr>
          <w:bCs/>
          <w:b/>
        </w:rPr>
        <w:t xml:space="preserve">Communication Language:</w:t>
      </w:r>
      <w:r>
        <w:t xml:space="preserve"> </w:t>
      </w:r>
      <w:r>
        <w:t xml:space="preserve">Group A will utilize English as the primary language with French/Dutch support. Group B will utilize a strictly localized approach (French/Dutch first, English second).</w:t>
      </w:r>
    </w:p>
    <w:p>
      <w:pPr>
        <w:numPr>
          <w:ilvl w:val="0"/>
          <w:numId w:val="1002"/>
        </w:numPr>
        <w:pStyle w:val="Compact"/>
      </w:pPr>
      <w:r>
        <w:rPr>
          <w:bCs/>
          <w:b/>
        </w:rPr>
        <w:t xml:space="preserve">Value Proposition:</w:t>
      </w:r>
      <w:r>
        <w:t xml:space="preserve"> </w:t>
      </w:r>
      <w:r>
        <w:t xml:space="preserve">Group A will focus on global scalability. Group B will focus on local compliance and regional stability.</w:t>
      </w:r>
    </w:p>
    <w:p>
      <w:pPr>
        <w:pStyle w:val="FirstParagraph"/>
      </w:pPr>
      <w:r>
        <w:rPr>
          <w:bCs/>
          <w:b/>
        </w:rPr>
        <w:t xml:space="preserve">Dependent Variables:</w:t>
      </w:r>
    </w:p>
    <w:p>
      <w:pPr>
        <w:numPr>
          <w:ilvl w:val="0"/>
          <w:numId w:val="1003"/>
        </w:numPr>
        <w:pStyle w:val="Compact"/>
      </w:pPr>
      <w:r>
        <w:t xml:space="preserve">Number of qualified meetings secured.</w:t>
      </w:r>
    </w:p>
    <w:p>
      <w:pPr>
        <w:numPr>
          <w:ilvl w:val="0"/>
          <w:numId w:val="1003"/>
        </w:numPr>
        <w:pStyle w:val="Compact"/>
      </w:pPr>
      <w:r>
        <w:t xml:space="preserve">Conversion rate from meeting to closed deal.</w:t>
      </w:r>
    </w:p>
    <w:p>
      <w:pPr>
        <w:numPr>
          <w:ilvl w:val="0"/>
          <w:numId w:val="1003"/>
        </w:numPr>
        <w:pStyle w:val="Compact"/>
      </w:pPr>
      <w:r>
        <w:t xml:space="preserve">Average sales cycle duration.</w:t>
      </w:r>
    </w:p>
    <w:p>
      <w:pPr>
        <w:numPr>
          <w:ilvl w:val="0"/>
          <w:numId w:val="1003"/>
        </w:numPr>
        <w:pStyle w:val="Compact"/>
      </w:pPr>
      <w:r>
        <w:t xml:space="preserve">Client satisfaction scores post-interaction.</w:t>
      </w:r>
    </w:p>
    <w:bookmarkEnd w:id="23"/>
    <w:bookmarkEnd w:id="24"/>
    <w:bookmarkStart w:id="25" w:name="participant-profile-the-sales-executive"/>
    <w:p>
      <w:pPr>
        <w:pStyle w:val="Heading2"/>
      </w:pPr>
      <w:r>
        <w:t xml:space="preserve">4. Participant Profile: The Sales Executive</w:t>
      </w:r>
    </w:p>
    <w:p>
      <w:pPr>
        <w:pStyle w:val="FirstParagraph"/>
      </w:pPr>
      <w:r>
        <w:t xml:space="preserve">The Sales Executive participating in this experiment must meet specific criteria to ensure the validity of the results within the Belgium Brussels context. The candidate must possess:</w:t>
      </w:r>
    </w:p>
    <w:p>
      <w:pPr>
        <w:numPr>
          <w:ilvl w:val="0"/>
          <w:numId w:val="1004"/>
        </w:numPr>
        <w:pStyle w:val="Compact"/>
      </w:pPr>
      <w:r>
        <w:t xml:space="preserve">Proven experience in B2B sales within the European market.</w:t>
      </w:r>
    </w:p>
    <w:p>
      <w:pPr>
        <w:numPr>
          <w:ilvl w:val="0"/>
          <w:numId w:val="1004"/>
        </w:numPr>
        <w:pStyle w:val="Compact"/>
      </w:pPr>
      <w:r>
        <w:t xml:space="preserve">Fluency in English and at least one of the official languages of Belgium (French or Dutch).</w:t>
      </w:r>
    </w:p>
    <w:p>
      <w:pPr>
        <w:numPr>
          <w:ilvl w:val="0"/>
          <w:numId w:val="1004"/>
        </w:numPr>
        <w:pStyle w:val="Compact"/>
      </w:pPr>
      <w:r>
        <w:t xml:space="preserve">A deep understanding of the political and economic significance of Brussels.</w:t>
      </w:r>
    </w:p>
    <w:p>
      <w:pPr>
        <w:numPr>
          <w:ilvl w:val="0"/>
          <w:numId w:val="1004"/>
        </w:numPr>
        <w:pStyle w:val="Compact"/>
      </w:pPr>
      <w:r>
        <w:t xml:space="preserve">Ability to adapt sales pitches to diverse cultural backgrounds, reflecting the multicultural nature of Brussels.</w:t>
      </w:r>
    </w:p>
    <w:p>
      <w:pPr>
        <w:pStyle w:val="FirstParagraph"/>
      </w:pPr>
      <w:r>
        <w:t xml:space="preserve">The Sales Executive will be provided with comprehensive training on the specific nuances of the Belgian business culture, including the importance of formal titles, punctuality, and the consensus-driven decision-making process common in Brussels-based organizations.</w:t>
      </w:r>
    </w:p>
    <w:bookmarkEnd w:id="25"/>
    <w:bookmarkStart w:id="29" w:name="procedure"/>
    <w:p>
      <w:pPr>
        <w:pStyle w:val="Heading2"/>
      </w:pPr>
      <w:r>
        <w:t xml:space="preserve">5. Procedure</w:t>
      </w:r>
    </w:p>
    <w:bookmarkStart w:id="26" w:name="phase-1-preparation-weeks-1-2"/>
    <w:p>
      <w:pPr>
        <w:pStyle w:val="Heading3"/>
      </w:pPr>
      <w:r>
        <w:t xml:space="preserve">5.1 Phase 1: Preparation (Weeks 1-2)</w:t>
      </w:r>
    </w:p>
    <w:p>
      <w:pPr>
        <w:pStyle w:val="FirstParagraph"/>
      </w:pPr>
      <w:r>
        <w:t xml:space="preserve">The Sales Executive will undergo training on the product/service and the specific market dynamics of Belgium Brussels. Lead lists will be generated and randomly assigned to Group A or Group B. All communication templates will be prepared and reviewed for cultural appropriateness.</w:t>
      </w:r>
    </w:p>
    <w:bookmarkEnd w:id="26"/>
    <w:bookmarkStart w:id="27" w:name="phase-2-execution-weeks-3-10"/>
    <w:p>
      <w:pPr>
        <w:pStyle w:val="Heading3"/>
      </w:pPr>
      <w:r>
        <w:t xml:space="preserve">5.2 Phase 2: Execution (Weeks 3-10)</w:t>
      </w:r>
    </w:p>
    <w:p>
      <w:pPr>
        <w:pStyle w:val="FirstParagraph"/>
      </w:pPr>
      <w:r>
        <w:t xml:space="preserve">The Sales Executive will initiate contact with leads according to the assigned group parameters. All interactions, including emails, phone calls, and meetings, will be logged in the CRM system. The Sales Executive must adhere strictly to the assigned communication style and value proposition for each group.</w:t>
      </w:r>
    </w:p>
    <w:bookmarkEnd w:id="27"/>
    <w:bookmarkStart w:id="28" w:name="phase-3-analysis-weeks-11-12"/>
    <w:p>
      <w:pPr>
        <w:pStyle w:val="Heading3"/>
      </w:pPr>
      <w:r>
        <w:t xml:space="preserve">5.3 Phase 3: Analysis (Weeks 11-12)</w:t>
      </w:r>
    </w:p>
    <w:p>
      <w:pPr>
        <w:pStyle w:val="FirstParagraph"/>
      </w:pPr>
      <w:r>
        <w:t xml:space="preserve">Data will be collected and analyzed to compare the performance of Group A and Group B. The Sales Executive will provide qualitative feedback on the challenges and successes encountered during the experiment.</w:t>
      </w:r>
    </w:p>
    <w:bookmarkEnd w:id="28"/>
    <w:bookmarkEnd w:id="29"/>
    <w:bookmarkStart w:id="30" w:name="ethical-considerations-and-compliance"/>
    <w:p>
      <w:pPr>
        <w:pStyle w:val="Heading2"/>
      </w:pPr>
      <w:r>
        <w:t xml:space="preserve">6. Ethical Considerations and Compliance</w:t>
      </w:r>
    </w:p>
    <w:p>
      <w:pPr>
        <w:pStyle w:val="FirstParagraph"/>
      </w:pPr>
      <w:r>
        <w:t xml:space="preserve">Given the location in Belgium Brussels, strict adherence to ethical standards and legal regulations is paramount. The experiment must comply with:</w:t>
      </w:r>
    </w:p>
    <w:p>
      <w:pPr>
        <w:numPr>
          <w:ilvl w:val="0"/>
          <w:numId w:val="1005"/>
        </w:numPr>
        <w:pStyle w:val="Compact"/>
      </w:pPr>
      <w:r>
        <w:rPr>
          <w:bCs/>
          <w:b/>
        </w:rPr>
        <w:t xml:space="preserve">GDPR:</w:t>
      </w:r>
      <w:r>
        <w:t xml:space="preserve"> </w:t>
      </w:r>
      <w:r>
        <w:t xml:space="preserve">All data collection and processing must adhere to the General Data Protection Regulation. Consent must be obtained where necessary.</w:t>
      </w:r>
    </w:p>
    <w:p>
      <w:pPr>
        <w:numPr>
          <w:ilvl w:val="0"/>
          <w:numId w:val="1005"/>
        </w:numPr>
        <w:pStyle w:val="Compact"/>
      </w:pPr>
      <w:r>
        <w:rPr>
          <w:bCs/>
          <w:b/>
        </w:rPr>
        <w:t xml:space="preserve">Belgian Commercial Law:</w:t>
      </w:r>
      <w:r>
        <w:t xml:space="preserve"> </w:t>
      </w:r>
      <w:r>
        <w:t xml:space="preserve">All sales practices must comply with local regulations regarding transparency, pricing, and contract formation.</w:t>
      </w:r>
    </w:p>
    <w:p>
      <w:pPr>
        <w:numPr>
          <w:ilvl w:val="0"/>
          <w:numId w:val="1005"/>
        </w:numPr>
        <w:pStyle w:val="Compact"/>
      </w:pPr>
      <w:r>
        <w:rPr>
          <w:bCs/>
          <w:b/>
        </w:rPr>
        <w:t xml:space="preserve">Anti-Corruption:</w:t>
      </w:r>
      <w:r>
        <w:t xml:space="preserve"> </w:t>
      </w:r>
      <w:r>
        <w:t xml:space="preserve">Given the proximity to EU institutions, the Sales Executive must adhere to strict anti-bribery and anti-corruption policies.</w:t>
      </w:r>
    </w:p>
    <w:bookmarkEnd w:id="30"/>
    <w:bookmarkStart w:id="31" w:name="expected-outcomes"/>
    <w:p>
      <w:pPr>
        <w:pStyle w:val="Heading2"/>
      </w:pPr>
      <w:r>
        <w:t xml:space="preserve">7. Expected Outcomes</w:t>
      </w:r>
    </w:p>
    <w:p>
      <w:pPr>
        <w:pStyle w:val="FirstParagraph"/>
      </w:pPr>
      <w:r>
        <w:t xml:space="preserve">We anticipate that the experiment will reveal significant insights into the preferences of the Belgium Brussels market. It is hypothesized that a localized approach (Group B) will yield higher initial engagement rates due to cultural resonance. However, the global scalability approach (Group A) may perform better with multinational corporations headquartered in Brussels. These findings will inform future sales strategies for Sales Executives operating in this region.</w:t>
      </w:r>
    </w:p>
    <w:bookmarkEnd w:id="31"/>
    <w:p>
      <w:pPr>
        <w:pStyle w:val="BodyText"/>
      </w:pPr>
      <w:r>
        <w:t xml:space="preserve">Document Version: 1.0 | Date: October 2023 | Prepared for: Internal Research Division | Location: Belgium Brussels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Sales Executive Performance in Belgium Brussels</dc:title>
  <dc:creator/>
  <dc:language>en</dc:language>
  <cp:keywords/>
  <dcterms:created xsi:type="dcterms:W3CDTF">2026-10-10T03:07:38Z</dcterms:created>
  <dcterms:modified xsi:type="dcterms:W3CDTF">2026-10-10T03:07:38Z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