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Optimization</w:t>
      </w:r>
      <w:r>
        <w:t xml:space="preserve"> </w:t>
      </w:r>
      <w:r>
        <w:t xml:space="preserve">in</w:t>
      </w:r>
      <w:r>
        <w:t xml:space="preserve"> </w:t>
      </w:r>
      <w:r>
        <w:t xml:space="preserve">Canada</w:t>
      </w:r>
      <w:r>
        <w:t xml:space="preserve"> </w:t>
      </w:r>
      <w:r>
        <w:t xml:space="preserve">Vancouver</w:t>
      </w:r>
    </w:p>
    <w:bookmarkStart w:id="32" w:name="Xbcaf143e2cdc2ed5deb340ed39e2214478e3129"/>
    <w:p>
      <w:pPr>
        <w:pStyle w:val="Heading1"/>
      </w:pPr>
      <w:r>
        <w:t xml:space="preserve">Experiment Protocol: Sales Executive Performance Optimization in Canada Vancouver</w:t>
      </w:r>
    </w:p>
    <w:p>
      <w:pPr>
        <w:pStyle w:val="FirstParagraph"/>
      </w:pPr>
      <w:r>
        <w:rPr>
          <w:bCs/>
          <w:b/>
        </w:rPr>
        <w:t xml:space="preserve">Document ID:</w:t>
      </w:r>
      <w:r>
        <w:t xml:space="preserve"> </w:t>
      </w:r>
      <w:r>
        <w:t xml:space="preserve">EP-VE-2024-001</w:t>
      </w:r>
      <w:r>
        <w:br/>
      </w:r>
      <w:r>
        <w:rPr>
          <w:bCs/>
          <w:b/>
        </w:rPr>
        <w:t xml:space="preserve">Date:</w:t>
      </w:r>
      <w:r>
        <w:t xml:space="preserve"> </w:t>
      </w:r>
      <w:r>
        <w:t xml:space="preserve">October 26, 2024</w:t>
      </w:r>
      <w:r>
        <w:br/>
      </w:r>
      <w:r>
        <w:rPr>
          <w:bCs/>
          <w:b/>
        </w:rPr>
        <w:t xml:space="preserve">Location:</w:t>
      </w:r>
      <w:r>
        <w:t xml:space="preserve"> </w:t>
      </w:r>
      <w:r>
        <w:t xml:space="preserve">Vancouver, British Columbia, Canada</w:t>
      </w:r>
      <w:r>
        <w:br/>
      </w:r>
      <w:r>
        <w:rPr>
          <w:bCs/>
          <w:b/>
        </w:rPr>
        <w:t xml:space="preserve">Subject:</w:t>
      </w:r>
      <w:r>
        <w:t xml:space="preserve"> </w:t>
      </w:r>
      <w:r>
        <w:t xml:space="preserve">Sales Executive Role</w:t>
      </w:r>
      <w:r>
        <w:br/>
      </w: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w:t>
      </w:r>
      <w:r>
        <w:t xml:space="preserve"> </w:t>
      </w:r>
      <w:r>
        <w:rPr>
          <w:bCs/>
          <w:b/>
        </w:rPr>
        <w:t xml:space="preserve">Experiment Protocol</w:t>
      </w:r>
      <w:r>
        <w:t xml:space="preserve"> </w:t>
      </w:r>
      <w:r>
        <w:t xml:space="preserve">outlines the methodology for evaluating the effectiveness of a new consultative sales methodology tailored specifically for</w:t>
      </w:r>
      <w:r>
        <w:t xml:space="preserve"> </w:t>
      </w:r>
      <w:r>
        <w:rPr>
          <w:bCs/>
          <w:b/>
        </w:rPr>
        <w:t xml:space="preserve">Sales Executive</w:t>
      </w:r>
      <w:r>
        <w:t xml:space="preserve"> </w:t>
      </w:r>
      <w:r>
        <w:t xml:space="preserve">roles operating within the dynamic market of</w:t>
      </w:r>
      <w:r>
        <w:t xml:space="preserve"> </w:t>
      </w:r>
      <w:r>
        <w:rPr>
          <w:bCs/>
          <w:b/>
        </w:rPr>
        <w:t xml:space="preserve">Canada Vancouver</w:t>
      </w:r>
      <w:r>
        <w:t xml:space="preserve">. The Vancouver market is characterized by a high concentration of technology firms, real estate developers, and green energy startups. Traditional transactional sales approaches have shown diminishing returns in this region due to the sophisticated nature of local buyers and the competitive landscape.</w:t>
      </w:r>
    </w:p>
    <w:p>
      <w:pPr>
        <w:pStyle w:val="BodyText"/>
      </w:pPr>
      <w:r>
        <w:t xml:space="preserve">The objective of this experiment is to determine if a structured, value-based selling framework improves key performance indicators (KPIs) for</w:t>
      </w:r>
      <w:r>
        <w:t xml:space="preserve"> </w:t>
      </w:r>
      <w:r>
        <w:rPr>
          <w:bCs/>
          <w:b/>
        </w:rPr>
        <w:t xml:space="preserve">Sales Executive</w:t>
      </w:r>
      <w:r>
        <w:t xml:space="preserve"> </w:t>
      </w:r>
      <w:r>
        <w:t xml:space="preserve">personnel compared to the current standard operating procedure. This protocol ensures that the data collected is statistically significant, ethically sound, and directly applicable to the unique cultural and economic context of</w:t>
      </w:r>
      <w:r>
        <w:t xml:space="preserve"> </w:t>
      </w:r>
      <w:r>
        <w:rPr>
          <w:bCs/>
          <w:b/>
        </w:rPr>
        <w:t xml:space="preserve">Canada Vancouver</w:t>
      </w:r>
      <w:r>
        <w:t xml:space="preserve">.</w:t>
      </w:r>
    </w:p>
    <w:bookmarkEnd w:id="20"/>
    <w:bookmarkStart w:id="21" w:name="objectives"/>
    <w:p>
      <w:pPr>
        <w:pStyle w:val="Heading2"/>
      </w:pPr>
      <w:r>
        <w:t xml:space="preserve">2. Objectives</w:t>
      </w:r>
    </w:p>
    <w:p>
      <w:pPr>
        <w:pStyle w:val="FirstParagraph"/>
      </w:pPr>
      <w:r>
        <w:t xml:space="preserve">The primary objectives of this</w:t>
      </w:r>
      <w:r>
        <w:t xml:space="preserve"> </w:t>
      </w:r>
      <w:r>
        <w:rPr>
          <w:bCs/>
          <w:b/>
        </w:rPr>
        <w:t xml:space="preserve">Experiment Protocol</w:t>
      </w:r>
      <w:r>
        <w:t xml:space="preserve"> </w:t>
      </w:r>
      <w:r>
        <w:t xml:space="preserve">are:</w:t>
      </w:r>
    </w:p>
    <w:p>
      <w:pPr>
        <w:numPr>
          <w:ilvl w:val="0"/>
          <w:numId w:val="1001"/>
        </w:numPr>
        <w:pStyle w:val="Compact"/>
      </w:pPr>
      <w:r>
        <w:t xml:space="preserve">To measure the impact of the new consultative methodology on the conversion rates of</w:t>
      </w:r>
      <w:r>
        <w:t xml:space="preserve"> </w:t>
      </w:r>
      <w:r>
        <w:rPr>
          <w:bCs/>
          <w:b/>
        </w:rPr>
        <w:t xml:space="preserve">Sales Executive</w:t>
      </w:r>
      <w:r>
        <w:t xml:space="preserve"> </w:t>
      </w:r>
      <w:r>
        <w:t xml:space="preserve">teams in</w:t>
      </w:r>
      <w:r>
        <w:t xml:space="preserve"> </w:t>
      </w:r>
      <w:r>
        <w:rPr>
          <w:bCs/>
          <w:b/>
        </w:rPr>
        <w:t xml:space="preserve">Canada Vancouver</w:t>
      </w:r>
      <w:r>
        <w:t xml:space="preserve">.</w:t>
      </w:r>
    </w:p>
    <w:p>
      <w:pPr>
        <w:numPr>
          <w:ilvl w:val="0"/>
          <w:numId w:val="1001"/>
        </w:numPr>
        <w:pStyle w:val="Compact"/>
      </w:pPr>
      <w:r>
        <w:t xml:space="preserve">To assess changes in the average deal size and sales cycle length for participants.</w:t>
      </w:r>
    </w:p>
    <w:p>
      <w:pPr>
        <w:numPr>
          <w:ilvl w:val="0"/>
          <w:numId w:val="1001"/>
        </w:numPr>
        <w:pStyle w:val="Compact"/>
      </w:pPr>
      <w:r>
        <w:t xml:space="preserve">To evaluate customer satisfaction scores (CSAT) and Net Promoter Scores (NPS) resulting from the new approach.</w:t>
      </w:r>
    </w:p>
    <w:p>
      <w:pPr>
        <w:numPr>
          <w:ilvl w:val="0"/>
          <w:numId w:val="1001"/>
        </w:numPr>
        <w:pStyle w:val="Compact"/>
      </w:pPr>
      <w:r>
        <w:t xml:space="preserve">To identify specific behavioral traits of successful</w:t>
      </w:r>
      <w:r>
        <w:t xml:space="preserve"> </w:t>
      </w:r>
      <w:r>
        <w:rPr>
          <w:bCs/>
          <w:b/>
        </w:rPr>
        <w:t xml:space="preserve">Sales Executive</w:t>
      </w:r>
      <w:r>
        <w:t xml:space="preserve"> </w:t>
      </w:r>
      <w:r>
        <w:t xml:space="preserve">candidates within the Vancouver market ecosystem.</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randomized controlled trial (RCT) design. The population consists of all active</w:t>
      </w:r>
      <w:r>
        <w:t xml:space="preserve"> </w:t>
      </w:r>
      <w:r>
        <w:rPr>
          <w:bCs/>
          <w:b/>
        </w:rPr>
        <w:t xml:space="preserve">Sales Executive</w:t>
      </w:r>
      <w:r>
        <w:t xml:space="preserve"> </w:t>
      </w:r>
      <w:r>
        <w:t xml:space="preserve">employees based in the</w:t>
      </w:r>
      <w:r>
        <w:t xml:space="preserve"> </w:t>
      </w:r>
      <w:r>
        <w:rPr>
          <w:bCs/>
          <w:b/>
        </w:rPr>
        <w:t xml:space="preserve">Canada Vancouver</w:t>
      </w:r>
      <w:r>
        <w:t xml:space="preserve"> </w:t>
      </w:r>
      <w:r>
        <w:t xml:space="preserve">office. Participants will be randomly assigned to either the Control Group or the Experimental Group.</w:t>
      </w:r>
    </w:p>
    <w:bookmarkEnd w:id="22"/>
    <w:bookmarkStart w:id="23" w:name="participant-selection"/>
    <w:p>
      <w:pPr>
        <w:pStyle w:val="Heading3"/>
      </w:pPr>
      <w:r>
        <w:t xml:space="preserve">3.2 Participant Selection</w:t>
      </w:r>
    </w:p>
    <w:p>
      <w:pPr>
        <w:pStyle w:val="FirstParagraph"/>
      </w:pPr>
      <w:r>
        <w:t xml:space="preserve">Eligibility criteria for</w:t>
      </w:r>
      <w:r>
        <w:t xml:space="preserve"> </w:t>
      </w:r>
      <w:r>
        <w:rPr>
          <w:bCs/>
          <w:b/>
        </w:rPr>
        <w:t xml:space="preserve">Sales Executive</w:t>
      </w:r>
      <w:r>
        <w:t xml:space="preserve"> </w:t>
      </w:r>
      <w:r>
        <w:t xml:space="preserve">participants include:</w:t>
      </w:r>
    </w:p>
    <w:p>
      <w:pPr>
        <w:numPr>
          <w:ilvl w:val="0"/>
          <w:numId w:val="1002"/>
        </w:numPr>
        <w:pStyle w:val="Compact"/>
      </w:pPr>
      <w:r>
        <w:t xml:space="preserve">Minimum of 12 months of tenure in the role.</w:t>
      </w:r>
    </w:p>
    <w:p>
      <w:pPr>
        <w:numPr>
          <w:ilvl w:val="0"/>
          <w:numId w:val="1002"/>
        </w:numPr>
        <w:pStyle w:val="Compact"/>
      </w:pPr>
      <w:r>
        <w:t xml:space="preserve">Primary territory located within Metro Vancouver.</w:t>
      </w:r>
    </w:p>
    <w:p>
      <w:pPr>
        <w:numPr>
          <w:ilvl w:val="0"/>
          <w:numId w:val="1002"/>
        </w:numPr>
        <w:pStyle w:val="Compact"/>
      </w:pPr>
      <w:r>
        <w:t xml:space="preserve">No history of performance improvement plans (PIP) in the last 6 months.</w:t>
      </w:r>
    </w:p>
    <w:p>
      <w:pPr>
        <w:pStyle w:val="FirstParagraph"/>
      </w:pPr>
      <w:r>
        <w:t xml:space="preserve">Participants will be stratified by experience level (Junior, Mid, Senior) to ensure balanced groups.</w:t>
      </w:r>
    </w:p>
    <w:bookmarkEnd w:id="23"/>
    <w:bookmarkStart w:id="24" w:name="intervention"/>
    <w:p>
      <w:pPr>
        <w:pStyle w:val="Heading3"/>
      </w:pPr>
      <w:r>
        <w:t xml:space="preserve">3.3 Intervention</w:t>
      </w:r>
    </w:p>
    <w:p>
      <w:pPr>
        <w:pStyle w:val="FirstParagraph"/>
      </w:pPr>
      <w:r>
        <w:t xml:space="preserve">The Experimental Group will undergo a 4-week intensive training program on the "Vancouver Value-First Framework." This framework emphasizes:</w:t>
      </w:r>
    </w:p>
    <w:p>
      <w:pPr>
        <w:numPr>
          <w:ilvl w:val="0"/>
          <w:numId w:val="1003"/>
        </w:numPr>
        <w:pStyle w:val="Compact"/>
      </w:pPr>
      <w:r>
        <w:t xml:space="preserve">Deep discovery questioning tailored to the tech-savvy Vancouver buyer.</w:t>
      </w:r>
    </w:p>
    <w:p>
      <w:pPr>
        <w:numPr>
          <w:ilvl w:val="0"/>
          <w:numId w:val="1003"/>
        </w:numPr>
        <w:pStyle w:val="Compact"/>
      </w:pPr>
      <w:r>
        <w:t xml:space="preserve">Integration of local sustainability and innovation narratives into sales pitches.</w:t>
      </w:r>
    </w:p>
    <w:p>
      <w:pPr>
        <w:numPr>
          <w:ilvl w:val="0"/>
          <w:numId w:val="1003"/>
        </w:numPr>
        <w:pStyle w:val="Compact"/>
      </w:pPr>
      <w:r>
        <w:t xml:space="preserve">Advanced objection handling techniques specific to the Canadian regulatory environment.</w:t>
      </w:r>
    </w:p>
    <w:p>
      <w:pPr>
        <w:pStyle w:val="FirstParagraph"/>
      </w:pPr>
      <w:r>
        <w:t xml:space="preserve">The Control Group will continue with the existing sales training curriculum without modification.</w:t>
      </w:r>
    </w:p>
    <w:bookmarkEnd w:id="24"/>
    <w:bookmarkEnd w:id="25"/>
    <w:bookmarkStart w:id="26" w:name="data-collection"/>
    <w:p>
      <w:pPr>
        <w:pStyle w:val="Heading2"/>
      </w:pPr>
      <w:r>
        <w:t xml:space="preserve">4. Data Collection</w:t>
      </w:r>
    </w:p>
    <w:p>
      <w:pPr>
        <w:pStyle w:val="FirstParagraph"/>
      </w:pPr>
      <w:r>
        <w:t xml:space="preserve">Data will be collected over a period of 90 days following the intervention. The following metrics will be tracked for each</w:t>
      </w:r>
      <w:r>
        <w:t xml:space="preserve"> </w:t>
      </w:r>
      <w:r>
        <w:rPr>
          <w:bCs/>
          <w:b/>
        </w:rPr>
        <w:t xml:space="preserve">Sales Executive</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Source</w:t>
            </w:r>
          </w:p>
        </w:tc>
      </w:tr>
      <w:tr>
        <w:tc>
          <w:tcPr/>
          <w:p>
            <w:pPr>
              <w:pStyle w:val="Compact"/>
              <w:jc w:val="left"/>
            </w:pPr>
            <w:r>
              <w:t xml:space="preserve">Conversion Rate</w:t>
            </w:r>
          </w:p>
        </w:tc>
        <w:tc>
          <w:tcPr/>
          <w:p>
            <w:pPr>
              <w:pStyle w:val="Compact"/>
              <w:jc w:val="left"/>
            </w:pPr>
            <w:r>
              <w:t xml:space="preserve">Percentage of qualified leads converted to closed-won deals.</w:t>
            </w:r>
          </w:p>
        </w:tc>
        <w:tc>
          <w:tcPr/>
          <w:p>
            <w:pPr>
              <w:pStyle w:val="Compact"/>
              <w:jc w:val="left"/>
            </w:pPr>
            <w:r>
              <w:t xml:space="preserve">CRM System</w:t>
            </w:r>
          </w:p>
        </w:tc>
      </w:tr>
      <w:tr>
        <w:tc>
          <w:tcPr/>
          <w:p>
            <w:pPr>
              <w:pStyle w:val="Compact"/>
              <w:jc w:val="left"/>
            </w:pPr>
            <w:r>
              <w:t xml:space="preserve">Average Deal Size</w:t>
            </w:r>
          </w:p>
        </w:tc>
        <w:tc>
          <w:tcPr/>
          <w:p>
            <w:pPr>
              <w:pStyle w:val="Compact"/>
              <w:jc w:val="left"/>
            </w:pPr>
            <w:r>
              <w:t xml:space="preserve">Total revenue divided by the number of closed deals.</w:t>
            </w:r>
          </w:p>
        </w:tc>
        <w:tc>
          <w:tcPr/>
          <w:p>
            <w:pPr>
              <w:pStyle w:val="Compact"/>
              <w:jc w:val="left"/>
            </w:pPr>
            <w:r>
              <w:t xml:space="preserve">CRM System</w:t>
            </w:r>
          </w:p>
        </w:tc>
      </w:tr>
      <w:tr>
        <w:tc>
          <w:tcPr/>
          <w:p>
            <w:pPr>
              <w:pStyle w:val="Compact"/>
              <w:jc w:val="left"/>
            </w:pPr>
            <w:r>
              <w:t xml:space="preserve">Sales Cycle Length</w:t>
            </w:r>
          </w:p>
        </w:tc>
        <w:tc>
          <w:tcPr/>
          <w:p>
            <w:pPr>
              <w:pStyle w:val="Compact"/>
              <w:jc w:val="left"/>
            </w:pPr>
            <w:r>
              <w:t xml:space="preserve">Average number of days from opportunity creation to close.</w:t>
            </w:r>
          </w:p>
        </w:tc>
        <w:tc>
          <w:tcPr/>
          <w:p>
            <w:pPr>
              <w:pStyle w:val="Compact"/>
              <w:jc w:val="left"/>
            </w:pPr>
            <w:r>
              <w:t xml:space="preserve">CRM System</w:t>
            </w:r>
          </w:p>
        </w:tc>
      </w:tr>
      <w:tr>
        <w:tc>
          <w:tcPr/>
          <w:p>
            <w:pPr>
              <w:pStyle w:val="Compact"/>
              <w:jc w:val="left"/>
            </w:pPr>
            <w:r>
              <w:t xml:space="preserve">Customer Satisfaction (CSAT)</w:t>
            </w:r>
          </w:p>
        </w:tc>
        <w:tc>
          <w:tcPr/>
          <w:p>
            <w:pPr>
              <w:pStyle w:val="Compact"/>
              <w:jc w:val="left"/>
            </w:pPr>
            <w:r>
              <w:t xml:space="preserve">Post-sale survey score from clients in</w:t>
            </w:r>
            <w:r>
              <w:t xml:space="preserve"> </w:t>
            </w:r>
            <w:r>
              <w:rPr>
                <w:bCs/>
                <w:b/>
              </w:rPr>
              <w:t xml:space="preserve">Canada Vancouver</w:t>
            </w:r>
            <w:r>
              <w:t xml:space="preserve">.</w:t>
            </w:r>
          </w:p>
        </w:tc>
        <w:tc>
          <w:tcPr/>
          <w:p>
            <w:pPr>
              <w:pStyle w:val="Compact"/>
              <w:jc w:val="left"/>
            </w:pPr>
            <w:r>
              <w:t xml:space="preserve">Survey Tool</w:t>
            </w:r>
          </w:p>
        </w:tc>
      </w:tr>
      <w:tr>
        <w:tc>
          <w:tcPr/>
          <w:p>
            <w:pPr>
              <w:pStyle w:val="Compact"/>
              <w:jc w:val="left"/>
            </w:pPr>
            <w:r>
              <w:t xml:space="preserve">Activity Metrics</w:t>
            </w:r>
          </w:p>
        </w:tc>
        <w:tc>
          <w:tcPr/>
          <w:p>
            <w:pPr>
              <w:pStyle w:val="Compact"/>
              <w:jc w:val="left"/>
            </w:pPr>
            <w:r>
              <w:t xml:space="preserve">Number of calls, emails, and meetings per week.</w:t>
            </w:r>
          </w:p>
        </w:tc>
        <w:tc>
          <w:tcPr/>
          <w:p>
            <w:pPr>
              <w:pStyle w:val="Compact"/>
              <w:jc w:val="left"/>
            </w:pPr>
            <w:r>
              <w:t xml:space="preserve">CRM System</w:t>
            </w:r>
          </w:p>
        </w:tc>
      </w:tr>
    </w:tbl>
    <w:bookmarkEnd w:id="26"/>
    <w:bookmarkStart w:id="27"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the ethical guidelines set forth by the Canadian Code of Conduct for Research Involving Humans. All</w:t>
      </w:r>
      <w:r>
        <w:t xml:space="preserve"> </w:t>
      </w:r>
      <w:r>
        <w:rPr>
          <w:bCs/>
          <w:b/>
        </w:rPr>
        <w:t xml:space="preserve">Sales Executive</w:t>
      </w:r>
      <w:r>
        <w:t xml:space="preserve"> </w:t>
      </w:r>
      <w:r>
        <w:t xml:space="preserve">participants will provide informed consent before joining the study. Participation is voluntary, and employees can withdraw at any time without penalty. Data will be anonymized to protect individual privacy, in compliance with British Columbia’s Personal Information Protection Act (PIPA).</w:t>
      </w:r>
    </w:p>
    <w:bookmarkEnd w:id="27"/>
    <w:bookmarkStart w:id="28" w:name="risk-management"/>
    <w:p>
      <w:pPr>
        <w:pStyle w:val="Heading2"/>
      </w:pPr>
      <w:r>
        <w:t xml:space="preserve">6. Risk Management</w:t>
      </w:r>
    </w:p>
    <w:p>
      <w:pPr>
        <w:pStyle w:val="FirstParagraph"/>
      </w:pPr>
      <w:r>
        <w:t xml:space="preserve">Potential risks include:</w:t>
      </w:r>
    </w:p>
    <w:p>
      <w:pPr>
        <w:numPr>
          <w:ilvl w:val="0"/>
          <w:numId w:val="1004"/>
        </w:numPr>
        <w:pStyle w:val="Compact"/>
      </w:pPr>
      <w:r>
        <w:rPr>
          <w:bCs/>
          <w:b/>
        </w:rPr>
        <w:t xml:space="preserve">Burnout:</w:t>
      </w:r>
      <w:r>
        <w:t xml:space="preserve"> </w:t>
      </w:r>
      <w:r>
        <w:t xml:space="preserve">The intensive training may increase workload. Mitigation: Training will be conducted during paid hours with flexible scheduling.</w:t>
      </w:r>
    </w:p>
    <w:p>
      <w:pPr>
        <w:numPr>
          <w:ilvl w:val="0"/>
          <w:numId w:val="1004"/>
        </w:numPr>
        <w:pStyle w:val="Compact"/>
      </w:pPr>
      <w:r>
        <w:rPr>
          <w:bCs/>
          <w:b/>
        </w:rPr>
        <w:t xml:space="preserve">Market Variability:</w:t>
      </w:r>
      <w:r>
        <w:t xml:space="preserve"> </w:t>
      </w:r>
      <w:r>
        <w:t xml:space="preserve">External factors in</w:t>
      </w:r>
      <w:r>
        <w:t xml:space="preserve"> </w:t>
      </w:r>
      <w:r>
        <w:rPr>
          <w:bCs/>
          <w:b/>
        </w:rPr>
        <w:t xml:space="preserve">Canada Vancouver</w:t>
      </w:r>
      <w:r>
        <w:t xml:space="preserve"> </w:t>
      </w:r>
      <w:r>
        <w:t xml:space="preserve">(e.g., economic shifts) may affect results. Mitigation: Use of control group to isolate the effect of the intervention.</w:t>
      </w:r>
    </w:p>
    <w:p>
      <w:pPr>
        <w:numPr>
          <w:ilvl w:val="0"/>
          <w:numId w:val="1004"/>
        </w:numPr>
        <w:pStyle w:val="Compact"/>
      </w:pPr>
      <w:r>
        <w:rPr>
          <w:bCs/>
          <w:b/>
        </w:rPr>
        <w:t xml:space="preserve">Contamination:</w:t>
      </w:r>
      <w:r>
        <w:t xml:space="preserve"> </w:t>
      </w:r>
      <w:r>
        <w:t xml:space="preserve">Control group members may adopt techniques from the Experimental Group. Mitigation: Clear communication about the study’s confidentiality and separate team meetings.</w:t>
      </w:r>
    </w:p>
    <w:bookmarkEnd w:id="28"/>
    <w:bookmarkStart w:id="29" w:name="analysis-plan"/>
    <w:p>
      <w:pPr>
        <w:pStyle w:val="Heading2"/>
      </w:pPr>
      <w:r>
        <w:t xml:space="preserve">7. Analysis Plan</w:t>
      </w:r>
    </w:p>
    <w:p>
      <w:pPr>
        <w:pStyle w:val="FirstParagraph"/>
      </w:pPr>
      <w:r>
        <w:t xml:space="preserve">Statistical analysis will be performed using ANOVA to compare the means of the key metrics between the Control and Experimental groups. A p-value of less than 0.05 will be considered statistically significant. Qualitative data from customer feedback will be analyzed using thematic analysis to identify recurring patterns in client perceptions of the</w:t>
      </w:r>
      <w:r>
        <w:t xml:space="preserve"> </w:t>
      </w:r>
      <w:r>
        <w:rPr>
          <w:bCs/>
          <w:b/>
        </w:rPr>
        <w:t xml:space="preserve">Sales Executive</w:t>
      </w:r>
      <w:r>
        <w:t xml:space="preserve"> </w:t>
      </w:r>
      <w:r>
        <w:t xml:space="preserve">interactions.</w:t>
      </w:r>
    </w:p>
    <w:bookmarkEnd w:id="29"/>
    <w:bookmarkStart w:id="30" w:name="timeline"/>
    <w:p>
      <w:pPr>
        <w:pStyle w:val="Heading2"/>
      </w:pPr>
      <w:r>
        <w:t xml:space="preserve">8. Timeline</w:t>
      </w:r>
    </w:p>
    <w:p>
      <w:pPr>
        <w:numPr>
          <w:ilvl w:val="0"/>
          <w:numId w:val="1005"/>
        </w:numPr>
        <w:pStyle w:val="Compact"/>
      </w:pPr>
      <w:r>
        <w:rPr>
          <w:bCs/>
          <w:b/>
        </w:rPr>
        <w:t xml:space="preserve">Weeks 1-2:</w:t>
      </w:r>
      <w:r>
        <w:t xml:space="preserve"> </w:t>
      </w:r>
      <w:r>
        <w:t xml:space="preserve">Recruitment and consent of</w:t>
      </w:r>
      <w:r>
        <w:t xml:space="preserve"> </w:t>
      </w:r>
      <w:r>
        <w:rPr>
          <w:bCs/>
          <w:b/>
        </w:rPr>
        <w:t xml:space="preserve">Sales Executive</w:t>
      </w:r>
      <w:r>
        <w:t xml:space="preserve"> </w:t>
      </w:r>
      <w:r>
        <w:t xml:space="preserve">participants.</w:t>
      </w:r>
    </w:p>
    <w:p>
      <w:pPr>
        <w:numPr>
          <w:ilvl w:val="0"/>
          <w:numId w:val="1005"/>
        </w:numPr>
        <w:pStyle w:val="Compact"/>
      </w:pPr>
      <w:r>
        <w:rPr>
          <w:bCs/>
          <w:b/>
        </w:rPr>
        <w:t xml:space="preserve">Weeks 3-6:</w:t>
      </w:r>
      <w:r>
        <w:t xml:space="preserve"> </w:t>
      </w:r>
      <w:r>
        <w:t xml:space="preserve">Training intervention for the Experimental Group.</w:t>
      </w:r>
    </w:p>
    <w:p>
      <w:pPr>
        <w:numPr>
          <w:ilvl w:val="0"/>
          <w:numId w:val="1005"/>
        </w:numPr>
        <w:pStyle w:val="Compact"/>
      </w:pPr>
      <w:r>
        <w:rPr>
          <w:bCs/>
          <w:b/>
        </w:rPr>
        <w:t xml:space="preserve">Weeks 7-18:</w:t>
      </w:r>
      <w:r>
        <w:t xml:space="preserve"> </w:t>
      </w:r>
      <w:r>
        <w:t xml:space="preserve">Data collection period (90 days).</w:t>
      </w:r>
    </w:p>
    <w:p>
      <w:pPr>
        <w:numPr>
          <w:ilvl w:val="0"/>
          <w:numId w:val="1005"/>
        </w:numPr>
        <w:pStyle w:val="Compact"/>
      </w:pPr>
      <w:r>
        <w:rPr>
          <w:bCs/>
          <w:b/>
        </w:rPr>
        <w:t xml:space="preserve">Weeks 19-20:</w:t>
      </w:r>
      <w:r>
        <w:t xml:space="preserve"> </w:t>
      </w:r>
      <w:r>
        <w:t xml:space="preserve">Data analysis and reporting.</w:t>
      </w:r>
    </w:p>
    <w:bookmarkEnd w:id="30"/>
    <w:bookmarkStart w:id="31" w:name="conclusion"/>
    <w:p>
      <w:pPr>
        <w:pStyle w:val="Heading2"/>
      </w:pPr>
      <w:r>
        <w:t xml:space="preserve">9. Conclusion</w:t>
      </w:r>
    </w:p>
    <w:p>
      <w:pPr>
        <w:pStyle w:val="FirstParagraph"/>
      </w:pPr>
      <w:r>
        <w:t xml:space="preserve">This</w:t>
      </w:r>
      <w:r>
        <w:t xml:space="preserve"> </w:t>
      </w:r>
      <w:r>
        <w:rPr>
          <w:bCs/>
          <w:b/>
        </w:rPr>
        <w:t xml:space="preserve">Experiment Protocol</w:t>
      </w:r>
      <w:r>
        <w:t xml:space="preserve"> </w:t>
      </w:r>
      <w:r>
        <w:t xml:space="preserve">provides a rigorous framework for testing a new sales methodology for</w:t>
      </w:r>
      <w:r>
        <w:t xml:space="preserve"> </w:t>
      </w:r>
      <w:r>
        <w:rPr>
          <w:bCs/>
          <w:b/>
        </w:rPr>
        <w:t xml:space="preserve">Sales Executive</w:t>
      </w:r>
      <w:r>
        <w:t xml:space="preserve"> </w:t>
      </w:r>
      <w:r>
        <w:t xml:space="preserve">roles in</w:t>
      </w:r>
      <w:r>
        <w:t xml:space="preserve"> </w:t>
      </w:r>
      <w:r>
        <w:rPr>
          <w:bCs/>
          <w:b/>
        </w:rPr>
        <w:t xml:space="preserve">Canada Vancouver</w:t>
      </w:r>
      <w:r>
        <w:t xml:space="preserve">. By following this protocol, the organization aims to gain actionable insights that will enhance sales performance, improve customer relationships, and maintain a competitive edge in the Vancouver market. The results will inform future training programs and strategic decisions for the sales department.</w:t>
      </w:r>
    </w:p>
    <w:p>
      <w:pPr>
        <w:pStyle w:val="BodyText"/>
      </w:pPr>
      <w:r>
        <w:t xml:space="preserve">Prepared by: Research &amp; Development Department</w:t>
      </w:r>
      <w:r>
        <w:br/>
      </w:r>
      <w:r>
        <w:t xml:space="preserve">Approved by: Chief Sales Officer</w:t>
      </w:r>
      <w:r>
        <w:br/>
      </w:r>
      <w:r>
        <w:t xml:space="preserve">Location: Vancouver, BC, Canada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Optimization in Canada Vancouver</dc:title>
  <dc:creator/>
  <dc:language>en</dc:language>
  <cp:keywords/>
  <dcterms:created xsi:type="dcterms:W3CDTF">2026-10-10T04:32:39Z</dcterms:created>
  <dcterms:modified xsi:type="dcterms:W3CDTF">2026-10-10T04:32:39Z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