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Chile</w:t>
      </w:r>
      <w:r>
        <w:t xml:space="preserve"> </w:t>
      </w:r>
      <w:r>
        <w:t xml:space="preserve">Santiago</w:t>
      </w:r>
    </w:p>
    <w:bookmarkStart w:id="20" w:name="X63b9dbd304a1765c08818f3c3797401fd78431e"/>
    <w:p>
      <w:pPr>
        <w:pStyle w:val="Heading1"/>
      </w:pPr>
      <w:r>
        <w:t xml:space="preserve">Experiment Protocol: Sales Executive Performance Optimization</w:t>
      </w:r>
    </w:p>
    <w:p>
      <w:pPr>
        <w:pStyle w:val="FirstParagraph"/>
      </w:pPr>
      <w:r>
        <w:t xml:space="preserve">Target Region: Chile Santiago</w:t>
      </w:r>
    </w:p>
    <w:bookmarkEnd w:id="20"/>
    <w:p>
      <w:pPr>
        <w:pStyle w:val="BodyText"/>
      </w:pPr>
      <w:r>
        <w:rPr>
          <w:bCs/>
          <w:b/>
        </w:rPr>
        <w:t xml:space="preserve">Protocol ID:</w:t>
      </w:r>
      <w:r>
        <w:t xml:space="preserve"> </w:t>
      </w:r>
      <w:r>
        <w:t xml:space="preserve">EXP-CLT-SCL-2023-001</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Head of Sales Operations, LATAM</w:t>
      </w:r>
    </w:p>
    <w:p>
      <w:pPr>
        <w:pStyle w:val="BodyText"/>
      </w:pPr>
      <w:r>
        <w:rPr>
          <w:bCs/>
          <w:b/>
        </w:rPr>
        <w:t xml:space="preserve">Subject:</w:t>
      </w:r>
      <w:r>
        <w:t xml:space="preserve"> </w:t>
      </w:r>
      <w:r>
        <w:t xml:space="preserve">Impact of Hyper-Local Digital Engagement Strategies on Sales Executive Conversion Rates in Santiago, Chile.</w:t>
      </w:r>
    </w:p>
    <w:bookmarkStart w:id="21" w:name="introduction-and-background"/>
    <w:p>
      <w:pPr>
        <w:pStyle w:val="Heading2"/>
      </w:pPr>
      <w:r>
        <w:t xml:space="preserve">1. Introduction and Background</w:t>
      </w:r>
    </w:p>
    <w:p>
      <w:pPr>
        <w:pStyle w:val="FirstParagraph"/>
      </w:pPr>
      <w:r>
        <w:t xml:space="preserve">The commercial landscape in</w:t>
      </w:r>
      <w:r>
        <w:t xml:space="preserve"> </w:t>
      </w:r>
      <w:r>
        <w:rPr>
          <w:bCs/>
          <w:b/>
        </w:rPr>
        <w:t xml:space="preserve">Chile Santiago</w:t>
      </w:r>
      <w:r>
        <w:t xml:space="preserve"> </w:t>
      </w:r>
      <w:r>
        <w:t xml:space="preserve">is characterized by a high degree of digital adoption, a competitive B2B environment, and a distinct cultural emphasis on relationship-building. As the economic hub of Chile, Santiago presents unique challenges and opportunities for</w:t>
      </w:r>
      <w:r>
        <w:t xml:space="preserve"> </w:t>
      </w:r>
      <w:r>
        <w:rPr>
          <w:bCs/>
          <w:b/>
        </w:rPr>
        <w:t xml:space="preserve">Sales Executive</w:t>
      </w:r>
      <w:r>
        <w:t xml:space="preserve"> </w:t>
      </w:r>
      <w:r>
        <w:t xml:space="preserve">roles. Traditional cold-calling methods are showing diminishing returns, while digital channels are saturated.</w:t>
      </w:r>
    </w:p>
    <w:p>
      <w:pPr>
        <w:pStyle w:val="BodyText"/>
      </w:pPr>
      <w:r>
        <w:t xml:space="preserve">This</w:t>
      </w:r>
      <w:r>
        <w:t xml:space="preserve"> </w:t>
      </w:r>
      <w:r>
        <w:rPr>
          <w:bCs/>
          <w:b/>
        </w:rPr>
        <w:t xml:space="preserve">Experiment Protocol</w:t>
      </w:r>
      <w:r>
        <w:t xml:space="preserve"> </w:t>
      </w:r>
      <w:r>
        <w:t xml:space="preserve">is designed to test the efficacy of a new, hybrid engagement model tailored specifically for the Santiago market. The hypothesis is that integrating localized cultural cues with data-driven digital outreach will significantly increase the conversion rate of Sales Executives compared to the current standard operating procedure (SOP).</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 "Santiago-Centric" outreach script on initial meeting booking rates.</w:t>
      </w:r>
    </w:p>
    <w:p>
      <w:pPr>
        <w:numPr>
          <w:ilvl w:val="0"/>
          <w:numId w:val="1001"/>
        </w:numPr>
        <w:pStyle w:val="Compact"/>
      </w:pPr>
      <w:r>
        <w:t xml:space="preserve">To evaluate the performance of Sales Executives when utilizing a new CRM-integrated social selling tool.</w:t>
      </w:r>
    </w:p>
    <w:p>
      <w:pPr>
        <w:numPr>
          <w:ilvl w:val="0"/>
          <w:numId w:val="1001"/>
        </w:numPr>
        <w:pStyle w:val="Compact"/>
      </w:pPr>
      <w:r>
        <w:t xml:space="preserve">To determine if localized timing (aligned with Santiago business hours and cultural norms) affects response rates.</w:t>
      </w:r>
    </w:p>
    <w:p>
      <w:pPr>
        <w:numPr>
          <w:ilvl w:val="0"/>
          <w:numId w:val="1001"/>
        </w:numPr>
        <w:pStyle w:val="Compact"/>
      </w:pPr>
      <w:r>
        <w:t xml:space="preserve">To provide actionable data for scaling the new protocol across the broader Chilean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population consists of all active Sales Executives operating within the Santiago metropolitan area. Participants will be randomly assigned to either the Control Group or the Experimental Group.</w:t>
      </w:r>
    </w:p>
    <w:bookmarkEnd w:id="23"/>
    <w:bookmarkStart w:id="24" w:name="participant-selection"/>
    <w:p>
      <w:pPr>
        <w:pStyle w:val="Heading3"/>
      </w:pPr>
      <w:r>
        <w:t xml:space="preserve">3.2 Participant Selection</w:t>
      </w:r>
    </w:p>
    <w:p>
      <w:pPr>
        <w:pStyle w:val="FirstParagraph"/>
      </w:pPr>
      <w:r>
        <w:rPr>
          <w:bCs/>
          <w:b/>
        </w:rPr>
        <w:t xml:space="preserve">Inclusion Criteria:</w:t>
      </w:r>
    </w:p>
    <w:p>
      <w:pPr>
        <w:numPr>
          <w:ilvl w:val="0"/>
          <w:numId w:val="1002"/>
        </w:numPr>
        <w:pStyle w:val="Compact"/>
      </w:pPr>
      <w:r>
        <w:t xml:space="preserve">Must be a full-time Sales Executive based in Santiago, Chile.</w:t>
      </w:r>
    </w:p>
    <w:p>
      <w:pPr>
        <w:numPr>
          <w:ilvl w:val="0"/>
          <w:numId w:val="1002"/>
        </w:numPr>
        <w:pStyle w:val="Compact"/>
      </w:pPr>
      <w:r>
        <w:t xml:space="preserve">Must have at least 6 months of tenure in the current role.</w:t>
      </w:r>
    </w:p>
    <w:p>
      <w:pPr>
        <w:numPr>
          <w:ilvl w:val="0"/>
          <w:numId w:val="1002"/>
        </w:numPr>
        <w:pStyle w:val="Compact"/>
      </w:pPr>
      <w:r>
        <w:t xml:space="preserve">Must have a consistent historical performance baseline (no outliers).</w:t>
      </w:r>
    </w:p>
    <w:p>
      <w:pPr>
        <w:pStyle w:val="FirstParagraph"/>
      </w:pPr>
      <w:r>
        <w:rPr>
          <w:bCs/>
          <w:b/>
        </w:rPr>
        <w:t xml:space="preserve">Exclusion Criteria:</w:t>
      </w:r>
    </w:p>
    <w:p>
      <w:pPr>
        <w:numPr>
          <w:ilvl w:val="0"/>
          <w:numId w:val="1003"/>
        </w:numPr>
        <w:pStyle w:val="Compact"/>
      </w:pPr>
      <w:r>
        <w:t xml:space="preserve">Executives currently on leave or undergoing disciplinary action.</w:t>
      </w:r>
    </w:p>
    <w:p>
      <w:pPr>
        <w:numPr>
          <w:ilvl w:val="0"/>
          <w:numId w:val="1003"/>
        </w:numPr>
        <w:pStyle w:val="Compact"/>
      </w:pPr>
      <w:r>
        <w:t xml:space="preserve">Executives managing key accounts that are already in advanced negotiation stages.</w:t>
      </w:r>
    </w:p>
    <w:bookmarkEnd w:id="24"/>
    <w:bookmarkStart w:id="25" w:name="groups"/>
    <w:p>
      <w:pPr>
        <w:pStyle w:val="Heading3"/>
      </w:pPr>
      <w:r>
        <w:t xml:space="preserve">3.3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w:t>
            </w:r>
          </w:p>
        </w:tc>
        <w:tc>
          <w:tcPr/>
          <w:p>
            <w:pPr>
              <w:pStyle w:val="Compact"/>
              <w:jc w:val="left"/>
            </w:pPr>
            <w:r>
              <w:t xml:space="preserve">Sample Size (N)</w:t>
            </w:r>
          </w:p>
        </w:tc>
      </w:tr>
      <w:tr>
        <w:tc>
          <w:tcPr/>
          <w:p>
            <w:pPr>
              <w:pStyle w:val="Compact"/>
              <w:jc w:val="left"/>
            </w:pPr>
            <w:r>
              <w:rPr>
                <w:bCs/>
                <w:b/>
              </w:rPr>
              <w:t xml:space="preserve">Control Group</w:t>
            </w:r>
          </w:p>
        </w:tc>
        <w:tc>
          <w:tcPr/>
          <w:p>
            <w:pPr>
              <w:pStyle w:val="Compact"/>
              <w:jc w:val="left"/>
            </w:pPr>
            <w:r>
              <w:t xml:space="preserve">Continues using the current global SOP, standard scripts, and generic email templates.</w:t>
            </w:r>
          </w:p>
        </w:tc>
        <w:tc>
          <w:tcPr/>
          <w:p>
            <w:pPr>
              <w:pStyle w:val="Compact"/>
              <w:jc w:val="left"/>
            </w:pPr>
            <w:r>
              <w:t xml:space="preserve">25</w:t>
            </w:r>
          </w:p>
        </w:tc>
      </w:tr>
      <w:tr>
        <w:tc>
          <w:tcPr/>
          <w:p>
            <w:pPr>
              <w:pStyle w:val="Compact"/>
              <w:jc w:val="left"/>
            </w:pPr>
            <w:r>
              <w:rPr>
                <w:bCs/>
                <w:b/>
              </w:rPr>
              <w:t xml:space="preserve">Experimental Group</w:t>
            </w:r>
          </w:p>
        </w:tc>
        <w:tc>
          <w:tcPr/>
          <w:p>
            <w:pPr>
              <w:pStyle w:val="Compact"/>
              <w:jc w:val="left"/>
            </w:pPr>
            <w:r>
              <w:t xml:space="preserve">Implements the "Santiago-Centric" protocol: localized scripts, LinkedIn social selling, and optimized contact times.</w:t>
            </w:r>
          </w:p>
        </w:tc>
        <w:tc>
          <w:tcPr/>
          <w:p>
            <w:pPr>
              <w:pStyle w:val="Compact"/>
              <w:jc w:val="left"/>
            </w:pPr>
            <w:r>
              <w:t xml:space="preserve">25</w:t>
            </w:r>
          </w:p>
        </w:tc>
      </w:tr>
    </w:tbl>
    <w:bookmarkEnd w:id="25"/>
    <w:bookmarkEnd w:id="26"/>
    <w:bookmarkStart w:id="29" w:name="experimental-protocol-procedures"/>
    <w:p>
      <w:pPr>
        <w:pStyle w:val="Heading2"/>
      </w:pPr>
      <w:r>
        <w:t xml:space="preserve">4. Experimental Protocol Procedures</w:t>
      </w:r>
    </w:p>
    <w:bookmarkStart w:id="27" w:name="the-santiago-centric-intervention"/>
    <w:p>
      <w:pPr>
        <w:pStyle w:val="Heading3"/>
      </w:pPr>
      <w:r>
        <w:t xml:space="preserve">4.1 The "Santiago-Centric" Intervention</w:t>
      </w:r>
    </w:p>
    <w:p>
      <w:pPr>
        <w:pStyle w:val="FirstParagraph"/>
      </w:pPr>
      <w:r>
        <w:t xml:space="preserve">The Experimental Group will adhere to the following specific protocols designed for the Chile Santiago market:</w:t>
      </w:r>
    </w:p>
    <w:p>
      <w:pPr>
        <w:numPr>
          <w:ilvl w:val="0"/>
          <w:numId w:val="1004"/>
        </w:numPr>
        <w:pStyle w:val="Compact"/>
      </w:pPr>
      <w:r>
        <w:rPr>
          <w:bCs/>
          <w:b/>
        </w:rPr>
        <w:t xml:space="preserve">Script Localization:</w:t>
      </w:r>
      <w:r>
        <w:t xml:space="preserve"> </w:t>
      </w:r>
      <w:r>
        <w:t xml:space="preserve">Scripts will be adapted to reflect local business etiquette, using appropriate Spanish terminology (e.g., "usted" vs. "tú" based on seniority) and referencing local economic trends relevant to Santiago industries.</w:t>
      </w:r>
    </w:p>
    <w:p>
      <w:pPr>
        <w:numPr>
          <w:ilvl w:val="0"/>
          <w:numId w:val="1004"/>
        </w:numPr>
        <w:pStyle w:val="Compact"/>
      </w:pPr>
      <w:r>
        <w:rPr>
          <w:bCs/>
          <w:b/>
        </w:rPr>
        <w:t xml:space="preserve">Timing Optimization:</w:t>
      </w:r>
      <w:r>
        <w:t xml:space="preserve"> </w:t>
      </w:r>
      <w:r>
        <w:t xml:space="preserve">Outreach will be scheduled between 10:00 AM and 12:00 PM, and 3:00 PM and 5:00 PM (CLT), avoiding the traditional midday break period common in Chilean corporate culture.</w:t>
      </w:r>
    </w:p>
    <w:p>
      <w:pPr>
        <w:numPr>
          <w:ilvl w:val="0"/>
          <w:numId w:val="1004"/>
        </w:numPr>
        <w:pStyle w:val="Compact"/>
      </w:pPr>
      <w:r>
        <w:rPr>
          <w:bCs/>
          <w:b/>
        </w:rPr>
        <w:t xml:space="preserve">Social Selling:</w:t>
      </w:r>
      <w:r>
        <w:t xml:space="preserve"> </w:t>
      </w:r>
      <w:r>
        <w:t xml:space="preserve">Sales Executives will engage with prospects on LinkedIn by commenting on local industry news before initiating direct contact.</w:t>
      </w:r>
    </w:p>
    <w:p>
      <w:pPr>
        <w:numPr>
          <w:ilvl w:val="0"/>
          <w:numId w:val="1004"/>
        </w:numPr>
        <w:pStyle w:val="Compact"/>
      </w:pPr>
      <w:r>
        <w:rPr>
          <w:bCs/>
          <w:b/>
        </w:rPr>
        <w:t xml:space="preserve">Channel Mix:</w:t>
      </w:r>
      <w:r>
        <w:t xml:space="preserve"> </w:t>
      </w:r>
      <w:r>
        <w:t xml:space="preserve">A 40% increase in WhatsApp Business usage for follow-ups, acknowledging its prevalence in Chilean professional communication.</w:t>
      </w:r>
    </w:p>
    <w:bookmarkEnd w:id="27"/>
    <w:bookmarkStart w:id="28" w:name="data-collection"/>
    <w:p>
      <w:pPr>
        <w:pStyle w:val="Heading3"/>
      </w:pPr>
      <w:r>
        <w:t xml:space="preserve">4.2 Data Collection</w:t>
      </w:r>
    </w:p>
    <w:p>
      <w:pPr>
        <w:pStyle w:val="FirstParagraph"/>
      </w:pPr>
      <w:r>
        <w:t xml:space="preserve">Data will be collected automatically via the CRM system over a period of 8 weeks. Key metrics include:</w:t>
      </w:r>
    </w:p>
    <w:p>
      <w:pPr>
        <w:numPr>
          <w:ilvl w:val="0"/>
          <w:numId w:val="1005"/>
        </w:numPr>
        <w:pStyle w:val="Compact"/>
      </w:pPr>
      <w:r>
        <w:t xml:space="preserve">Number of outbound contacts made.</w:t>
      </w:r>
    </w:p>
    <w:p>
      <w:pPr>
        <w:numPr>
          <w:ilvl w:val="0"/>
          <w:numId w:val="1005"/>
        </w:numPr>
        <w:pStyle w:val="Compact"/>
      </w:pPr>
      <w:r>
        <w:t xml:space="preserve">Response rate (percentage of prospects replying).</w:t>
      </w:r>
    </w:p>
    <w:p>
      <w:pPr>
        <w:numPr>
          <w:ilvl w:val="0"/>
          <w:numId w:val="1005"/>
        </w:numPr>
        <w:pStyle w:val="Compact"/>
      </w:pPr>
      <w:r>
        <w:t xml:space="preserve">Meeting booking rate.</w:t>
      </w:r>
    </w:p>
    <w:p>
      <w:pPr>
        <w:numPr>
          <w:ilvl w:val="0"/>
          <w:numId w:val="1005"/>
        </w:numPr>
        <w:pStyle w:val="Compact"/>
      </w:pPr>
      <w:r>
        <w:t xml:space="preserve">Conversion rate from meeting to closed deal.</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(Sales Executives) will provide informed consent. The experiment will not negatively impact the compensation of any participant; bonuses will be calculated based on the average performance of both groups to ensure fairness. Data privacy will be maintained in accordance with Chile's Law 19.628 on the Protection of Private Life.</w:t>
      </w:r>
    </w:p>
    <w:bookmarkEnd w:id="30"/>
    <w:bookmarkStart w:id="31" w:name="risk-management"/>
    <w:p>
      <w:pPr>
        <w:pStyle w:val="Heading2"/>
      </w:pPr>
      <w:r>
        <w:t xml:space="preserve">6. Risk Management</w:t>
      </w:r>
    </w:p>
    <w:p>
      <w:pPr>
        <w:pStyle w:val="FirstParagraph"/>
      </w:pPr>
      <w:r>
        <w:t xml:space="preserve">Potential risks include brand dilution if the localized messaging is perceived as unprofessional, or data skew due to external market factors in Santiago. Mitigation strategies include weekly review meetings with the Sales Director and a pre-defined stop-loss criterion if the Experimental Group's performance drops by more than 15% compared to the Control Group.</w:t>
      </w:r>
    </w:p>
    <w:bookmarkEnd w:id="31"/>
    <w:bookmarkStart w:id="32" w:name="timeline"/>
    <w:p>
      <w:pPr>
        <w:pStyle w:val="Heading2"/>
      </w:pPr>
      <w:r>
        <w:t xml:space="preserve">7. Timeline</w:t>
      </w:r>
    </w:p>
    <w:p>
      <w:pPr>
        <w:numPr>
          <w:ilvl w:val="0"/>
          <w:numId w:val="1006"/>
        </w:numPr>
        <w:pStyle w:val="Compact"/>
      </w:pPr>
      <w:r>
        <w:rPr>
          <w:bCs/>
          <w:b/>
        </w:rPr>
        <w:t xml:space="preserve">Week 1:</w:t>
      </w:r>
      <w:r>
        <w:t xml:space="preserve"> </w:t>
      </w:r>
      <w:r>
        <w:t xml:space="preserve">Recruitment, consent, and training for the Experimental Group.</w:t>
      </w:r>
    </w:p>
    <w:p>
      <w:pPr>
        <w:numPr>
          <w:ilvl w:val="0"/>
          <w:numId w:val="1006"/>
        </w:numPr>
        <w:pStyle w:val="Compact"/>
      </w:pPr>
      <w:r>
        <w:rPr>
          <w:bCs/>
          <w:b/>
        </w:rPr>
        <w:t xml:space="preserve">Weeks 2-9:</w:t>
      </w:r>
      <w:r>
        <w:t xml:space="preserve"> </w:t>
      </w:r>
      <w:r>
        <w:t xml:space="preserve">Active data collection period.</w:t>
      </w:r>
    </w:p>
    <w:p>
      <w:pPr>
        <w:numPr>
          <w:ilvl w:val="0"/>
          <w:numId w:val="1006"/>
        </w:numPr>
        <w:pStyle w:val="Compact"/>
      </w:pPr>
      <w:r>
        <w:rPr>
          <w:bCs/>
          <w:b/>
        </w:rPr>
        <w:t xml:space="preserve">Week 10:</w:t>
      </w:r>
      <w:r>
        <w:t xml:space="preserve"> </w:t>
      </w:r>
      <w:r>
        <w:t xml:space="preserve">Data analysis and reporting.</w:t>
      </w:r>
    </w:p>
    <w:p>
      <w:pPr>
        <w:numPr>
          <w:ilvl w:val="0"/>
          <w:numId w:val="1006"/>
        </w:numPr>
        <w:pStyle w:val="Compact"/>
      </w:pPr>
      <w:r>
        <w:rPr>
          <w:bCs/>
          <w:b/>
        </w:rPr>
        <w:t xml:space="preserve">Week 11:</w:t>
      </w:r>
      <w:r>
        <w:t xml:space="preserve"> </w:t>
      </w:r>
      <w:r>
        <w:t xml:space="preserve">Presentation of findings and decision on protocol adoption.</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critical step in optimizing our sales strategy for the</w:t>
      </w:r>
      <w:r>
        <w:t xml:space="preserve"> </w:t>
      </w:r>
      <w:r>
        <w:rPr>
          <w:bCs/>
          <w:b/>
        </w:rPr>
        <w:t xml:space="preserve">Chile Santiago</w:t>
      </w:r>
      <w:r>
        <w:t xml:space="preserve"> </w:t>
      </w:r>
      <w:r>
        <w:t xml:space="preserve">market. By rigorously testing the capabilities of our</w:t>
      </w:r>
      <w:r>
        <w:t xml:space="preserve"> </w:t>
      </w:r>
      <w:r>
        <w:rPr>
          <w:bCs/>
          <w:b/>
        </w:rPr>
        <w:t xml:space="preserve">Sales Executive</w:t>
      </w:r>
      <w:r>
        <w:t xml:space="preserve"> </w:t>
      </w:r>
      <w:r>
        <w:t xml:space="preserve">team under new, localized conditions, we aim to drive sustainable growth and improve market penetration. The results will inform our broader LATAM strategy, ensuring that our approach is both culturally relevant and commercially effective.</w:t>
      </w:r>
    </w:p>
    <w:p>
      <w:pPr>
        <w:pStyle w:val="BodyText"/>
      </w:pPr>
      <w:r>
        <w:t xml:space="preserve">© 2023 Corporate Sales Operations. Confidential Document. For internal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Chile Santiago</dc:title>
  <dc:creator/>
  <dc:language>en</dc:language>
  <cp:keywords/>
  <dcterms:created xsi:type="dcterms:W3CDTF">2026-10-10T02:32:41Z</dcterms:created>
  <dcterms:modified xsi:type="dcterms:W3CDTF">2026-10-10T02:32:41Z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