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0" w:name="Xfc14ad84b1f4e53e00a6dfdb6c4d63baca0e5d7"/>
    <w:p>
      <w:pPr>
        <w:pStyle w:val="Heading1"/>
      </w:pPr>
      <w:r>
        <w:t xml:space="preserve">Experiment Protocol: Sales Executive Performance Optimization in China Beijing</w:t>
      </w:r>
    </w:p>
    <w:p>
      <w:pPr>
        <w:pStyle w:val="FirstParagraph"/>
      </w:pPr>
      <w:r>
        <w:rPr>
          <w:bCs/>
          <w:b/>
        </w:rPr>
        <w:t xml:space="preserve">Document ID:</w:t>
      </w:r>
      <w:r>
        <w:t xml:space="preserve"> </w:t>
      </w:r>
      <w:r>
        <w:t xml:space="preserve">EP-SALES-BJ-2024-001</w:t>
      </w:r>
      <w:r>
        <w:br/>
      </w:r>
      <w:r>
        <w:rPr>
          <w:bCs/>
          <w:b/>
        </w:rPr>
        <w:t xml:space="preserve">Date:</w:t>
      </w:r>
      <w:r>
        <w:t xml:space="preserve"> </w:t>
      </w:r>
      <w:r>
        <w:t xml:space="preserve">October 26, 2023</w:t>
      </w:r>
      <w:r>
        <w:br/>
      </w:r>
      <w:r>
        <w:rPr>
          <w:bCs/>
          <w:b/>
        </w:rPr>
        <w:t xml:space="preserve">Location:</w:t>
      </w:r>
      <w:r>
        <w:t xml:space="preserve"> </w:t>
      </w:r>
      <w:r>
        <w:t xml:space="preserve">Beijing, People's Republic of China</w:t>
      </w:r>
      <w:r>
        <w:br/>
      </w:r>
      <w:r>
        <w:rPr>
          <w:bCs/>
          <w:b/>
        </w:rPr>
        <w:t xml:space="preserve">Subject:</w:t>
      </w:r>
      <w:r>
        <w:t xml:space="preserve"> </w:t>
      </w:r>
      <w:r>
        <w:t xml:space="preserve">Sales Executive Behavioral and Strategic Analysis</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and optimizing the performance of Sales Executives operating within the dynamic commercial landscape of China Beijing. The primary objective is to determine the efficacy of culturally adapted sales strategies versus traditional Western methodologies when deployed by Sales Executives in the Beijing market.</w:t>
      </w:r>
    </w:p>
    <w:p>
      <w:pPr>
        <w:pStyle w:val="BodyText"/>
      </w:pPr>
      <w:r>
        <w:t xml:space="preserve">Beijing represents a unique economic hub characterized by high regulatory scrutiny, intense competition, and a distinct business culture rooted in relationship-building (Guanxi). This experiment aims to quantify how specific behavioral adjustments by Sales Executives impact conversion rates, client retention, and deal velocity in this specific geographic and cultural context.</w:t>
      </w:r>
    </w:p>
    <w:bookmarkEnd w:id="21"/>
    <w:bookmarkStart w:id="22" w:name="scope-and-target-audience"/>
    <w:p>
      <w:pPr>
        <w:pStyle w:val="Heading2"/>
      </w:pPr>
      <w:r>
        <w:t xml:space="preserve">2. Scope and Target Audience</w:t>
      </w:r>
    </w:p>
    <w:p>
      <w:pPr>
        <w:pStyle w:val="FirstParagraph"/>
      </w:pPr>
      <w:r>
        <w:t xml:space="preserve">The scope of this experiment is strictly limited to the municipal boundaries of Beijing, with a focus on key business districts such as Chaoyang CBD, Haidian District (technology hub), and Dongcheng. The target participants are mid-to-senior level Sales Executives currently employed by multinational or domestic firms operating in the B2B sector.</w:t>
      </w:r>
    </w:p>
    <w:p>
      <w:pPr>
        <w:pStyle w:val="BodyText"/>
      </w:pPr>
      <w:r>
        <w:t xml:space="preserve">The protocol addresses the following critical aspects:</w:t>
      </w:r>
    </w:p>
    <w:p>
      <w:pPr>
        <w:numPr>
          <w:ilvl w:val="0"/>
          <w:numId w:val="1001"/>
        </w:numPr>
        <w:pStyle w:val="Compact"/>
      </w:pPr>
      <w:r>
        <w:rPr>
          <w:bCs/>
          <w:b/>
        </w:rPr>
        <w:t xml:space="preserve">Sales Executive Competency:</w:t>
      </w:r>
      <w:r>
        <w:t xml:space="preserve"> </w:t>
      </w:r>
      <w:r>
        <w:t xml:space="preserve">Evaluating communication styles, negotiation tactics, and digital tool utilization.</w:t>
      </w:r>
    </w:p>
    <w:p>
      <w:pPr>
        <w:numPr>
          <w:ilvl w:val="0"/>
          <w:numId w:val="1001"/>
        </w:numPr>
        <w:pStyle w:val="Compact"/>
      </w:pPr>
      <w:r>
        <w:rPr>
          <w:bCs/>
          <w:b/>
        </w:rPr>
        <w:t xml:space="preserve">China Beijing Market Dynamics:</w:t>
      </w:r>
      <w:r>
        <w:t xml:space="preserve"> </w:t>
      </w:r>
      <w:r>
        <w:t xml:space="preserve">Accounting for local holidays, regulatory environments, and consumer behavior patterns specific to the capital.</w:t>
      </w:r>
    </w:p>
    <w:p>
      <w:pPr>
        <w:numPr>
          <w:ilvl w:val="0"/>
          <w:numId w:val="1001"/>
        </w:numPr>
        <w:pStyle w:val="Compact"/>
      </w:pPr>
      <w:r>
        <w:rPr>
          <w:bCs/>
          <w:b/>
        </w:rPr>
        <w:t xml:space="preserve">Experimental Variables:</w:t>
      </w:r>
      <w:r>
        <w:t xml:space="preserve"> </w:t>
      </w:r>
      <w:r>
        <w:t xml:space="preserve">Isolating specific sales techniques to measure their direct impact on outcomes.</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This study will utilize a randomized controlled trial (RCT) design. A cohort of 100 Sales Executives will be divided into two equal groups:</w:t>
      </w:r>
    </w:p>
    <w:p>
      <w:pPr>
        <w:numPr>
          <w:ilvl w:val="0"/>
          <w:numId w:val="1002"/>
        </w:numPr>
        <w:pStyle w:val="Compact"/>
      </w:pPr>
      <w:r>
        <w:rPr>
          <w:bCs/>
          <w:b/>
        </w:rPr>
        <w:t xml:space="preserve">Control Group (Group A):</w:t>
      </w:r>
      <w:r>
        <w:t xml:space="preserve"> </w:t>
      </w:r>
      <w:r>
        <w:t xml:space="preserve">Will continue using the company's standard global sales playbook, which emphasizes direct communication, rapid closing, and feature-benefit analysis.</w:t>
      </w:r>
    </w:p>
    <w:p>
      <w:pPr>
        <w:numPr>
          <w:ilvl w:val="0"/>
          <w:numId w:val="1002"/>
        </w:numPr>
        <w:pStyle w:val="Compact"/>
      </w:pPr>
      <w:r>
        <w:rPr>
          <w:bCs/>
          <w:b/>
        </w:rPr>
        <w:t xml:space="preserve">Experimental Group (Group B):</w:t>
      </w:r>
      <w:r>
        <w:t xml:space="preserve"> </w:t>
      </w:r>
      <w:r>
        <w:t xml:space="preserve">Will implement a "Beijing-Adapted" protocol. This includes extended relationship-building phases, integration of WeChat for professional communication, emphasis on face (Mianzi) during negotiations, and alignment with local business etiquette.</w:t>
      </w:r>
    </w:p>
    <w:bookmarkEnd w:id="23"/>
    <w:bookmarkStart w:id="24" w:name="duration"/>
    <w:p>
      <w:pPr>
        <w:pStyle w:val="Heading3"/>
      </w:pPr>
      <w:r>
        <w:t xml:space="preserve">3.2 Duration</w:t>
      </w:r>
    </w:p>
    <w:p>
      <w:pPr>
        <w:pStyle w:val="FirstParagraph"/>
      </w:pPr>
      <w:r>
        <w:t xml:space="preserve">The experiment will run for a period of 12 weeks, commencing on November 1, 2023, and concluding on January 31, 2024. This timeline allows for the observation of sales cycles typical in the Beijing market, which often extend longer than in Western markets due to hierarchical decision-making processes.</w:t>
      </w:r>
    </w:p>
    <w:bookmarkEnd w:id="24"/>
    <w:bookmarkStart w:id="25" w:name="data-collection-instruments"/>
    <w:p>
      <w:pPr>
        <w:pStyle w:val="Heading3"/>
      </w:pPr>
      <w:r>
        <w:t xml:space="preserve">3.3 Data Collection Instruments</w:t>
      </w:r>
    </w:p>
    <w:p>
      <w:pPr>
        <w:pStyle w:val="FirstParagraph"/>
      </w:pPr>
      <w:r>
        <w:t xml:space="preserve">Data will be collected through the following mechanisms:</w:t>
      </w:r>
    </w:p>
    <w:p>
      <w:pPr>
        <w:numPr>
          <w:ilvl w:val="0"/>
          <w:numId w:val="1003"/>
        </w:numPr>
        <w:pStyle w:val="Compact"/>
      </w:pPr>
      <w:r>
        <w:rPr>
          <w:bCs/>
          <w:b/>
        </w:rPr>
        <w:t xml:space="preserve">CRM Analytics:</w:t>
      </w:r>
      <w:r>
        <w:t xml:space="preserve"> </w:t>
      </w:r>
      <w:r>
        <w:t xml:space="preserve">Tracking lead-to-close ratios, average deal size, and sales cycle length.</w:t>
      </w:r>
    </w:p>
    <w:p>
      <w:pPr>
        <w:numPr>
          <w:ilvl w:val="0"/>
          <w:numId w:val="1003"/>
        </w:numPr>
        <w:pStyle w:val="Compact"/>
      </w:pPr>
      <w:r>
        <w:rPr>
          <w:bCs/>
          <w:b/>
        </w:rPr>
        <w:t xml:space="preserve">Communication Logs:</w:t>
      </w:r>
      <w:r>
        <w:t xml:space="preserve"> </w:t>
      </w:r>
      <w:r>
        <w:t xml:space="preserve">Analysis of interaction frequency and channels (e.g., email vs. WeChat vs. face-to-face meetings).</w:t>
      </w:r>
    </w:p>
    <w:p>
      <w:pPr>
        <w:numPr>
          <w:ilvl w:val="0"/>
          <w:numId w:val="1003"/>
        </w:numPr>
        <w:pStyle w:val="Compact"/>
      </w:pPr>
      <w:r>
        <w:rPr>
          <w:bCs/>
          <w:b/>
        </w:rPr>
        <w:t xml:space="preserve">Client Feedback Surveys:</w:t>
      </w:r>
      <w:r>
        <w:t xml:space="preserve"> </w:t>
      </w:r>
      <w:r>
        <w:t xml:space="preserve">Post-interaction surveys distributed to prospects in Beijing to gauge perceived professionalism and cultural alignment.</w:t>
      </w:r>
    </w:p>
    <w:p>
      <w:pPr>
        <w:numPr>
          <w:ilvl w:val="0"/>
          <w:numId w:val="1003"/>
        </w:numPr>
        <w:pStyle w:val="Compact"/>
      </w:pPr>
      <w:r>
        <w:rPr>
          <w:bCs/>
          <w:b/>
        </w:rPr>
        <w:t xml:space="preserve">Executive Self-Reporting:</w:t>
      </w:r>
      <w:r>
        <w:t xml:space="preserve"> </w:t>
      </w:r>
      <w:r>
        <w:t xml:space="preserve">Weekly logs from Sales Executives detailing challenges faced in the local market.</w:t>
      </w:r>
    </w:p>
    <w:bookmarkEnd w:id="25"/>
    <w:bookmarkEnd w:id="26"/>
    <w:bookmarkStart w:id="27" w:name="key-performance-indicators-kpis"/>
    <w:p>
      <w:pPr>
        <w:pStyle w:val="Heading2"/>
      </w:pPr>
      <w:r>
        <w:t xml:space="preserve">4. Key Performance Indicators (KPIs)</w:t>
      </w:r>
    </w:p>
    <w:p>
      <w:pPr>
        <w:pStyle w:val="FirstParagraph"/>
      </w:pPr>
      <w:r>
        <w:t xml:space="preserve">To ensure the validity of the Experiment Protocol, the following KPIs will be monitored rigorously:</w:t>
      </w:r>
    </w:p>
    <w:p>
      <w:pPr>
        <w:numPr>
          <w:ilvl w:val="0"/>
          <w:numId w:val="1004"/>
        </w:numPr>
        <w:pStyle w:val="Compact"/>
      </w:pPr>
      <w:r>
        <w:rPr>
          <w:bCs/>
          <w:b/>
        </w:rPr>
        <w:t xml:space="preserve">Conversion Rate:</w:t>
      </w:r>
      <w:r>
        <w:t xml:space="preserve"> </w:t>
      </w:r>
      <w:r>
        <w:t xml:space="preserve">The percentage of qualified leads converted into closed deals.</w:t>
      </w:r>
    </w:p>
    <w:p>
      <w:pPr>
        <w:numPr>
          <w:ilvl w:val="0"/>
          <w:numId w:val="1004"/>
        </w:numPr>
        <w:pStyle w:val="Compact"/>
      </w:pPr>
      <w:r>
        <w:rPr>
          <w:bCs/>
          <w:b/>
        </w:rPr>
        <w:t xml:space="preserve">Relationship Depth Score:</w:t>
      </w:r>
      <w:r>
        <w:t xml:space="preserve"> </w:t>
      </w:r>
      <w:r>
        <w:t xml:space="preserve">A qualitative metric assessing the strength of the Guanxi established between the Sales Executive and the client.</w:t>
      </w:r>
    </w:p>
    <w:p>
      <w:pPr>
        <w:numPr>
          <w:ilvl w:val="0"/>
          <w:numId w:val="1004"/>
        </w:numPr>
        <w:pStyle w:val="Compact"/>
      </w:pPr>
      <w:r>
        <w:rPr>
          <w:bCs/>
          <w:b/>
        </w:rPr>
        <w:t xml:space="preserve">Response Time Efficiency:</w:t>
      </w:r>
      <w:r>
        <w:t xml:space="preserve"> </w:t>
      </w:r>
      <w:r>
        <w:t xml:space="preserve">Measuring the speed of response to client inquiries via preferred local channels.</w:t>
      </w:r>
    </w:p>
    <w:p>
      <w:pPr>
        <w:numPr>
          <w:ilvl w:val="0"/>
          <w:numId w:val="1004"/>
        </w:numPr>
        <w:pStyle w:val="Compact"/>
      </w:pPr>
      <w:r>
        <w:rPr>
          <w:bCs/>
          <w:b/>
        </w:rPr>
        <w:t xml:space="preserve">Regulatory Compliance Adherence:</w:t>
      </w:r>
      <w:r>
        <w:t xml:space="preserve"> </w:t>
      </w:r>
      <w:r>
        <w:t xml:space="preserve">Ensuring all sales activities comply with China's Anti-Unfair Competition Law and data privacy regulations.</w:t>
      </w:r>
    </w:p>
    <w:bookmarkEnd w:id="27"/>
    <w:bookmarkStart w:id="28" w:name="ethical-considerations-and-compliance"/>
    <w:p>
      <w:pPr>
        <w:pStyle w:val="Heading2"/>
      </w:pPr>
      <w:r>
        <w:t xml:space="preserve">5. Ethical Considerations and Compliance</w:t>
      </w:r>
    </w:p>
    <w:p>
      <w:pPr>
        <w:pStyle w:val="FirstParagraph"/>
      </w:pPr>
      <w:r>
        <w:t xml:space="preserve">Given the location in China Beijing, strict adherence to local laws is paramount. This Experiment Protocol ensures that:</w:t>
      </w:r>
    </w:p>
    <w:p>
      <w:pPr>
        <w:numPr>
          <w:ilvl w:val="0"/>
          <w:numId w:val="1005"/>
        </w:numPr>
        <w:pStyle w:val="Compact"/>
      </w:pPr>
      <w:r>
        <w:t xml:space="preserve">All data collected from Sales Executives and clients is stored on servers located within mainland China to comply with the Cybersecurity Law of the People's Republic of China.</w:t>
      </w:r>
    </w:p>
    <w:p>
      <w:pPr>
        <w:numPr>
          <w:ilvl w:val="0"/>
          <w:numId w:val="1005"/>
        </w:numPr>
        <w:pStyle w:val="Compact"/>
      </w:pPr>
      <w:r>
        <w:t xml:space="preserve">Informed consent is obtained from all participating Sales Executives.</w:t>
      </w:r>
    </w:p>
    <w:p>
      <w:pPr>
        <w:numPr>
          <w:ilvl w:val="0"/>
          <w:numId w:val="1005"/>
        </w:numPr>
        <w:pStyle w:val="Compact"/>
      </w:pPr>
      <w:r>
        <w:t xml:space="preserve">Client interactions remain transparent, and no deceptive practices are employed during the experimental phase.</w:t>
      </w:r>
    </w:p>
    <w:p>
      <w:pPr>
        <w:pStyle w:val="FirstParagraph"/>
      </w:pPr>
      <w:r>
        <w:t xml:space="preserve">Note: Special attention must be paid to the "Great Firewall" and internet accessibility when selecting digital tools for the Sales Executives to ensure uninterrupted workflow.</w:t>
      </w:r>
    </w:p>
    <w:bookmarkEnd w:id="28"/>
    <w:bookmarkStart w:id="29" w:name="risk-management"/>
    <w:p>
      <w:pPr>
        <w:pStyle w:val="Heading2"/>
      </w:pPr>
      <w:r>
        <w:t xml:space="preserve">6. Risk Management</w:t>
      </w:r>
    </w:p>
    <w:p>
      <w:pPr>
        <w:pStyle w:val="FirstParagraph"/>
      </w:pPr>
      <w:r>
        <w:t xml:space="preserve">Potential risks include cultural misinterpretation by Sales Executives in the Experimental Group and market volatility in Beijing. Mitigation strategies include:</w:t>
      </w:r>
    </w:p>
    <w:p>
      <w:pPr>
        <w:numPr>
          <w:ilvl w:val="0"/>
          <w:numId w:val="1006"/>
        </w:numPr>
        <w:pStyle w:val="Compact"/>
      </w:pPr>
      <w:r>
        <w:t xml:space="preserve">Providing comprehensive cultural training workshops prior to the start of the experiment.</w:t>
      </w:r>
    </w:p>
    <w:p>
      <w:pPr>
        <w:numPr>
          <w:ilvl w:val="0"/>
          <w:numId w:val="1006"/>
        </w:numPr>
        <w:pStyle w:val="Compact"/>
      </w:pPr>
      <w:r>
        <w:t xml:space="preserve">Establishing a local advisory board in Beijing to review sales scripts and strategies.</w:t>
      </w:r>
    </w:p>
    <w:p>
      <w:pPr>
        <w:numPr>
          <w:ilvl w:val="0"/>
          <w:numId w:val="1006"/>
        </w:numPr>
        <w:pStyle w:val="Compact"/>
      </w:pPr>
      <w:r>
        <w:t xml:space="preserve">Implementing a stop-loss mechanism if client satisfaction scores drop below a predefined threshold.</w:t>
      </w:r>
    </w:p>
    <w:bookmarkEnd w:id="29"/>
    <w:bookmarkStart w:id="30" w:name="conclusion-and-expected-outcomes"/>
    <w:p>
      <w:pPr>
        <w:pStyle w:val="Heading2"/>
      </w:pPr>
      <w:r>
        <w:t xml:space="preserve">7. Conclusion and Expected Outcomes</w:t>
      </w:r>
    </w:p>
    <w:p>
      <w:pPr>
        <w:pStyle w:val="FirstParagraph"/>
      </w:pPr>
      <w:r>
        <w:t xml:space="preserve">This Experiment Protocol is designed to provide actionable insights into the optimization of Sales Executive performance in China Beijing. By systematically comparing traditional methods with culturally adapted strategies, the organization aims to enhance its market penetration and operational efficiency in one of the world's most critical economic centers. The findings will inform future training programs and strategic deployments for Sales Executives operating in the Greater China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China Beijing</dc:title>
  <dc:creator/>
  <dc:language>en</dc:language>
  <cp:keywords/>
  <dcterms:created xsi:type="dcterms:W3CDTF">2026-10-10T03:41:46Z</dcterms:created>
  <dcterms:modified xsi:type="dcterms:W3CDTF">2026-10-10T03:41:46Z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