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China</w:t>
      </w:r>
      <w:r>
        <w:t xml:space="preserve"> </w:t>
      </w:r>
      <w:r>
        <w:t xml:space="preserve">Guangzhou</w:t>
      </w:r>
    </w:p>
    <w:bookmarkStart w:id="20" w:name="X9882120eb875e52e1c28322b98dbfbae4ddf77d"/>
    <w:p>
      <w:pPr>
        <w:pStyle w:val="Heading1"/>
      </w:pPr>
      <w:r>
        <w:t xml:space="preserve">Experiment Protocol: Sales Executive Performance Optimization in China Guangzhou</w:t>
      </w:r>
    </w:p>
    <w:p>
      <w:pPr>
        <w:pStyle w:val="FirstParagraph"/>
      </w:pPr>
      <w:r>
        <w:rPr>
          <w:bCs/>
          <w:b/>
        </w:rPr>
        <w:t xml:space="preserve">Document ID:</w:t>
      </w:r>
      <w:r>
        <w:t xml:space="preserve"> </w:t>
      </w:r>
      <w:r>
        <w:t xml:space="preserve">EXP-GZ-SE-2023-001</w:t>
      </w:r>
    </w:p>
    <w:p>
      <w:pPr>
        <w:pStyle w:val="BodyText"/>
      </w:pPr>
      <w:r>
        <w:rPr>
          <w:bCs/>
          <w:b/>
        </w:rPr>
        <w:t xml:space="preserve">Location:</w:t>
      </w:r>
      <w:r>
        <w:t xml:space="preserve"> </w:t>
      </w:r>
      <w:r>
        <w:t xml:space="preserve">China Guangzhou (Pearl River Delta Economic Zone)</w:t>
      </w:r>
    </w:p>
    <w:p>
      <w:pPr>
        <w:pStyle w:val="BodyText"/>
      </w:pPr>
      <w:r>
        <w:rPr>
          <w:bCs/>
          <w:b/>
        </w:rPr>
        <w:t xml:space="preserve">Target Role:</w:t>
      </w:r>
      <w:r>
        <w:t xml:space="preserve"> </w:t>
      </w:r>
      <w:r>
        <w:t xml:space="preserve">Sales Executive</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testing a new digital engagement strategy designed specifically for the</w:t>
      </w:r>
      <w:r>
        <w:t xml:space="preserve"> </w:t>
      </w:r>
      <w:r>
        <w:rPr>
          <w:bCs/>
          <w:b/>
        </w:rPr>
        <w:t xml:space="preserve">Sales Executive</w:t>
      </w:r>
      <w:r>
        <w:t xml:space="preserve"> </w:t>
      </w:r>
      <w:r>
        <w:t xml:space="preserve">workforce operating within the dynamic commercial landscape of</w:t>
      </w:r>
      <w:r>
        <w:t xml:space="preserve"> </w:t>
      </w:r>
      <w:r>
        <w:rPr>
          <w:bCs/>
          <w:b/>
        </w:rPr>
        <w:t xml:space="preserve">China Guangzhou</w:t>
      </w:r>
      <w:r>
        <w:t xml:space="preserve">. Guangzhou, as a historic trading hub and a modern manufacturing powerhouse, presents unique challenges and opportunities for sales professionals. The local market is characterized by high-speed digital adoption, a strong preference for WeChat-based communication, and a culture that values both technological efficiency and deep interpersonal relationships (Guanxi).</w:t>
      </w:r>
    </w:p>
    <w:p>
      <w:pPr>
        <w:pStyle w:val="BodyText"/>
      </w:pPr>
      <w:r>
        <w:t xml:space="preserve">The objective of this experiment is to determine if integrating an AI-driven CRM assistant with localized cultural training modules can significantly improve the conversion rates and client retention metrics of a</w:t>
      </w:r>
      <w:r>
        <w:t xml:space="preserve"> </w:t>
      </w:r>
      <w:r>
        <w:rPr>
          <w:bCs/>
          <w:b/>
        </w:rPr>
        <w:t xml:space="preserve">Sales Executive</w:t>
      </w:r>
      <w:r>
        <w:t xml:space="preserve"> </w:t>
      </w:r>
      <w:r>
        <w:t xml:space="preserve">compared to traditional sales methodologies.</w:t>
      </w:r>
    </w:p>
    <w:bookmarkEnd w:id="21"/>
    <w:bookmarkStart w:id="22" w:name="objectives"/>
    <w:p>
      <w:pPr>
        <w:pStyle w:val="Heading2"/>
      </w:pPr>
      <w:r>
        <w:t xml:space="preserve">2. Objectives</w:t>
      </w:r>
    </w:p>
    <w:p>
      <w:pPr>
        <w:pStyle w:val="FirstParagraph"/>
      </w:pPr>
      <w:r>
        <w:t xml:space="preserve">The primary goal of this experiment is to quantify the impact of the "Guangzhou Hybrid Sales Model" on the performance of the</w:t>
      </w:r>
      <w:r>
        <w:t xml:space="preserve"> </w:t>
      </w:r>
      <w:r>
        <w:rPr>
          <w:bCs/>
          <w:b/>
        </w:rPr>
        <w:t xml:space="preserve">Sales Executive</w:t>
      </w:r>
      <w:r>
        <w:t xml:space="preserve">. Specific objectives include:</w:t>
      </w:r>
    </w:p>
    <w:p>
      <w:pPr>
        <w:numPr>
          <w:ilvl w:val="0"/>
          <w:numId w:val="1001"/>
        </w:numPr>
        <w:pStyle w:val="Compact"/>
      </w:pPr>
      <w:r>
        <w:t xml:space="preserve">To measure the increase in qualified leads generated by</w:t>
      </w:r>
      <w:r>
        <w:t xml:space="preserve"> </w:t>
      </w:r>
      <w:r>
        <w:rPr>
          <w:bCs/>
          <w:b/>
        </w:rPr>
        <w:t xml:space="preserve">Sales Executive</w:t>
      </w:r>
      <w:r>
        <w:t xml:space="preserve"> </w:t>
      </w:r>
      <w:r>
        <w:t xml:space="preserve">participants using the new digital toolkit.</w:t>
      </w:r>
    </w:p>
    <w:p>
      <w:pPr>
        <w:numPr>
          <w:ilvl w:val="0"/>
          <w:numId w:val="1001"/>
        </w:numPr>
        <w:pStyle w:val="Compact"/>
      </w:pPr>
      <w:r>
        <w:t xml:space="preserve">To assess the improvement in closing rates within the</w:t>
      </w:r>
      <w:r>
        <w:t xml:space="preserve"> </w:t>
      </w:r>
      <w:r>
        <w:rPr>
          <w:bCs/>
          <w:b/>
        </w:rPr>
        <w:t xml:space="preserve">China Guangzhou</w:t>
      </w:r>
      <w:r>
        <w:t xml:space="preserve"> </w:t>
      </w:r>
      <w:r>
        <w:t xml:space="preserve">market sector.</w:t>
      </w:r>
    </w:p>
    <w:p>
      <w:pPr>
        <w:numPr>
          <w:ilvl w:val="0"/>
          <w:numId w:val="1001"/>
        </w:numPr>
        <w:pStyle w:val="Compact"/>
      </w:pPr>
      <w:r>
        <w:t xml:space="preserve">To evaluate the</w:t>
      </w:r>
      <w:r>
        <w:t xml:space="preserve"> </w:t>
      </w:r>
      <w:r>
        <w:rPr>
          <w:bCs/>
          <w:b/>
        </w:rPr>
        <w:t xml:space="preserve">Sales Executive</w:t>
      </w:r>
      <w:r>
        <w:t xml:space="preserve">'s ability to navigate local business etiquette using the provided cultural modules.</w:t>
      </w:r>
    </w:p>
    <w:p>
      <w:pPr>
        <w:numPr>
          <w:ilvl w:val="0"/>
          <w:numId w:val="1001"/>
        </w:numPr>
        <w:pStyle w:val="Compact"/>
      </w:pPr>
      <w:r>
        <w:t xml:space="preserve">To gather qualitative feedback on the usability of the tools in the fast-paced environment of</w:t>
      </w:r>
      <w:r>
        <w:t xml:space="preserve"> </w:t>
      </w:r>
      <w:r>
        <w:rPr>
          <w:bCs/>
          <w:b/>
        </w:rPr>
        <w:t xml:space="preserve">China Guangzhou</w:t>
      </w:r>
      <w:r>
        <w:t xml:space="preserv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randomized controlled trial (RCT) design. The experiment will take place over a period of 12 weeks, covering one full fiscal quarter to account for seasonal business fluctuations typical in</w:t>
      </w:r>
      <w:r>
        <w:t xml:space="preserve"> </w:t>
      </w:r>
      <w:r>
        <w:rPr>
          <w:bCs/>
          <w:b/>
        </w:rPr>
        <w:t xml:space="preserve">China Guangzhou</w:t>
      </w:r>
      <w:r>
        <w:t xml:space="preserve">.</w:t>
      </w:r>
    </w:p>
    <w:bookmarkEnd w:id="23"/>
    <w:bookmarkStart w:id="24" w:name="participants"/>
    <w:p>
      <w:pPr>
        <w:pStyle w:val="Heading3"/>
      </w:pPr>
      <w:r>
        <w:t xml:space="preserve">3.2 Participants</w:t>
      </w:r>
    </w:p>
    <w:p>
      <w:pPr>
        <w:pStyle w:val="FirstParagraph"/>
      </w:pPr>
      <w:r>
        <w:t xml:space="preserve">The study will recruit 60</w:t>
      </w:r>
      <w:r>
        <w:t xml:space="preserve"> </w:t>
      </w:r>
      <w:r>
        <w:rPr>
          <w:bCs/>
          <w:b/>
        </w:rPr>
        <w:t xml:space="preserve">Sales Executive</w:t>
      </w:r>
      <w:r>
        <w:t xml:space="preserve"> </w:t>
      </w:r>
      <w:r>
        <w:t xml:space="preserve">professionals currently employed in</w:t>
      </w:r>
      <w:r>
        <w:t xml:space="preserve"> </w:t>
      </w:r>
      <w:r>
        <w:rPr>
          <w:bCs/>
          <w:b/>
        </w:rPr>
        <w:t xml:space="preserve">China Guangzhou</w:t>
      </w:r>
      <w:r>
        <w:t xml:space="preserve">. Participants will be selected based on:</w:t>
      </w:r>
    </w:p>
    <w:p>
      <w:pPr>
        <w:numPr>
          <w:ilvl w:val="0"/>
          <w:numId w:val="1002"/>
        </w:numPr>
        <w:pStyle w:val="Compact"/>
      </w:pPr>
      <w:r>
        <w:t xml:space="preserve">Minimum of 2 years of experience in the local market.</w:t>
      </w:r>
    </w:p>
    <w:p>
      <w:pPr>
        <w:numPr>
          <w:ilvl w:val="0"/>
          <w:numId w:val="1002"/>
        </w:numPr>
        <w:pStyle w:val="Compact"/>
      </w:pPr>
      <w:r>
        <w:t xml:space="preserve">Fluency in Mandarin and proficiency in Cantonese is preferred to ensure authentic engagement with local stakeholders.</w:t>
      </w:r>
    </w:p>
    <w:p>
      <w:pPr>
        <w:numPr>
          <w:ilvl w:val="0"/>
          <w:numId w:val="1002"/>
        </w:numPr>
        <w:pStyle w:val="Compact"/>
      </w:pPr>
      <w:r>
        <w:t xml:space="preserve">Current employment in B2B sectors relevant to the Guangzhou industrial base (e.g., electronics, textiles, logistics).</w:t>
      </w:r>
    </w:p>
    <w:bookmarkEnd w:id="24"/>
    <w:bookmarkStart w:id="25" w:name="group-allocation"/>
    <w:p>
      <w:pPr>
        <w:pStyle w:val="Heading3"/>
      </w:pPr>
      <w:r>
        <w:t xml:space="preserve">3.3 Group Allocation</w:t>
      </w:r>
    </w:p>
    <w:p>
      <w:pPr>
        <w:pStyle w:val="FirstParagraph"/>
      </w:pPr>
      <w:r>
        <w:t xml:space="preserve">Participants will be randomly assigned to two groups:</w:t>
      </w:r>
    </w:p>
    <w:p>
      <w:pPr>
        <w:numPr>
          <w:ilvl w:val="0"/>
          <w:numId w:val="1003"/>
        </w:numPr>
        <w:pStyle w:val="Compact"/>
      </w:pPr>
      <w:r>
        <w:rPr>
          <w:bCs/>
          <w:b/>
        </w:rPr>
        <w:t xml:space="preserve">Control Group (n=30):</w:t>
      </w:r>
      <w:r>
        <w:t xml:space="preserve"> </w:t>
      </w:r>
      <w:r>
        <w:t xml:space="preserve">These</w:t>
      </w:r>
      <w:r>
        <w:t xml:space="preserve"> </w:t>
      </w:r>
      <w:r>
        <w:rPr>
          <w:bCs/>
          <w:b/>
        </w:rPr>
        <w:t xml:space="preserve">Sales Executive</w:t>
      </w:r>
      <w:r>
        <w:t xml:space="preserve"> </w:t>
      </w:r>
      <w:r>
        <w:t xml:space="preserve">participants will continue using their standard operating procedures and existing CRM tools without additional intervention.</w:t>
      </w:r>
    </w:p>
    <w:p>
      <w:pPr>
        <w:numPr>
          <w:ilvl w:val="0"/>
          <w:numId w:val="1003"/>
        </w:numPr>
        <w:pStyle w:val="Compact"/>
      </w:pPr>
      <w:r>
        <w:rPr>
          <w:bCs/>
          <w:b/>
        </w:rPr>
        <w:t xml:space="preserve">Experimental Group (n=30):</w:t>
      </w:r>
      <w:r>
        <w:t xml:space="preserve"> </w:t>
      </w:r>
      <w:r>
        <w:t xml:space="preserve">These</w:t>
      </w:r>
      <w:r>
        <w:t xml:space="preserve"> </w:t>
      </w:r>
      <w:r>
        <w:rPr>
          <w:bCs/>
          <w:b/>
        </w:rPr>
        <w:t xml:space="preserve">Sales Executive</w:t>
      </w:r>
      <w:r>
        <w:t xml:space="preserve"> </w:t>
      </w:r>
      <w:r>
        <w:t xml:space="preserve">participants will be equipped with the "Guangzhou Hybrid Sales Model," which includes an AI-powered lead scoring tool integrated with WeChat Work and a specialized training module on</w:t>
      </w:r>
      <w:r>
        <w:t xml:space="preserve"> </w:t>
      </w:r>
      <w:r>
        <w:rPr>
          <w:bCs/>
          <w:b/>
        </w:rPr>
        <w:t xml:space="preserve">China Guangzhou</w:t>
      </w:r>
      <w:r>
        <w:t xml:space="preserve"> </w:t>
      </w:r>
      <w:r>
        <w:t xml:space="preserve">business etiquette.</w:t>
      </w:r>
    </w:p>
    <w:bookmarkEnd w:id="25"/>
    <w:bookmarkEnd w:id="26"/>
    <w:bookmarkStart w:id="30" w:name="procedures"/>
    <w:p>
      <w:pPr>
        <w:pStyle w:val="Heading2"/>
      </w:pPr>
      <w:r>
        <w:t xml:space="preserve">4. Procedures</w:t>
      </w:r>
    </w:p>
    <w:bookmarkStart w:id="27" w:name="phase-1-baseline-assessment-week-1"/>
    <w:p>
      <w:pPr>
        <w:pStyle w:val="Heading3"/>
      </w:pPr>
      <w:r>
        <w:t xml:space="preserve">4.1 Phase 1: Baseline Assessment (Week 1)</w:t>
      </w:r>
    </w:p>
    <w:p>
      <w:pPr>
        <w:pStyle w:val="FirstParagraph"/>
      </w:pPr>
      <w:r>
        <w:t xml:space="preserve">All</w:t>
      </w:r>
      <w:r>
        <w:t xml:space="preserve"> </w:t>
      </w:r>
      <w:r>
        <w:rPr>
          <w:bCs/>
          <w:b/>
        </w:rPr>
        <w:t xml:space="preserve">Sales Executive</w:t>
      </w:r>
      <w:r>
        <w:t xml:space="preserve"> </w:t>
      </w:r>
      <w:r>
        <w:t xml:space="preserve">participants will undergo a baseline assessment to record their current performance metrics, including monthly revenue, number of client meetings, and conversion rates. This ensures that any changes observed during the experiment can be attributed to the intervention rather than pre-existing differences.</w:t>
      </w:r>
    </w:p>
    <w:bookmarkEnd w:id="27"/>
    <w:bookmarkStart w:id="28" w:name="X7a1c3c66becf47205afe9a77b8516ad488c7af9"/>
    <w:p>
      <w:pPr>
        <w:pStyle w:val="Heading3"/>
      </w:pPr>
      <w:r>
        <w:t xml:space="preserve">4.2 Phase 2: Intervention Implementation (Weeks 2-11)</w:t>
      </w:r>
    </w:p>
    <w:p>
      <w:pPr>
        <w:pStyle w:val="FirstParagraph"/>
      </w:pPr>
      <w:r>
        <w:t xml:space="preserve">During this phase, the Experimental Group will begin utilizing the new tools. The</w:t>
      </w:r>
      <w:r>
        <w:t xml:space="preserve"> </w:t>
      </w:r>
      <w:r>
        <w:rPr>
          <w:bCs/>
          <w:b/>
        </w:rPr>
        <w:t xml:space="preserve">Sales Executive</w:t>
      </w:r>
      <w:r>
        <w:t xml:space="preserve"> </w:t>
      </w:r>
      <w:r>
        <w:t xml:space="preserve">in this group will receive:</w:t>
      </w:r>
    </w:p>
    <w:p>
      <w:pPr>
        <w:numPr>
          <w:ilvl w:val="0"/>
          <w:numId w:val="1004"/>
        </w:numPr>
        <w:pStyle w:val="Compact"/>
      </w:pPr>
      <w:r>
        <w:rPr>
          <w:bCs/>
          <w:b/>
        </w:rPr>
        <w:t xml:space="preserve">Digital Integration:</w:t>
      </w:r>
      <w:r>
        <w:t xml:space="preserve"> </w:t>
      </w:r>
      <w:r>
        <w:t xml:space="preserve">Access to a dashboard that aggregates client data from WeChat interactions, allowing for real-time sentiment analysis.</w:t>
      </w:r>
    </w:p>
    <w:p>
      <w:pPr>
        <w:numPr>
          <w:ilvl w:val="0"/>
          <w:numId w:val="1004"/>
        </w:numPr>
        <w:pStyle w:val="Compact"/>
      </w:pPr>
      <w:r>
        <w:rPr>
          <w:bCs/>
          <w:b/>
        </w:rPr>
        <w:t xml:space="preserve">Cultural Training:</w:t>
      </w:r>
      <w:r>
        <w:t xml:space="preserve"> </w:t>
      </w:r>
      <w:r>
        <w:t xml:space="preserve">Weekly workshops focusing on the nuances of doing business in</w:t>
      </w:r>
      <w:r>
        <w:t xml:space="preserve"> </w:t>
      </w:r>
      <w:r>
        <w:rPr>
          <w:bCs/>
          <w:b/>
        </w:rPr>
        <w:t xml:space="preserve">China Guangzhou</w:t>
      </w:r>
      <w:r>
        <w:t xml:space="preserve">, including gift-giving protocols, dining etiquette, and negotiation styles specific to the Pearl River Delta region.</w:t>
      </w:r>
    </w:p>
    <w:p>
      <w:pPr>
        <w:pStyle w:val="FirstParagraph"/>
      </w:pPr>
      <w:r>
        <w:t xml:space="preserve">The Control Group will operate as usual. Both groups will be monitored to ensure compliance with company policies and ethical standards.</w:t>
      </w:r>
    </w:p>
    <w:bookmarkEnd w:id="28"/>
    <w:bookmarkStart w:id="29" w:name="X32a3e570567d0295dae78eb4e8988ec05f1cb5c"/>
    <w:p>
      <w:pPr>
        <w:pStyle w:val="Heading3"/>
      </w:pPr>
      <w:r>
        <w:t xml:space="preserve">4.3 Phase 3: Data Collection and Analysis (Week 12)</w:t>
      </w:r>
    </w:p>
    <w:p>
      <w:pPr>
        <w:pStyle w:val="FirstParagraph"/>
      </w:pPr>
      <w:r>
        <w:t xml:space="preserve">At the conclusion of the 12-week period, final performance metrics will be collected. Data will be analyzed using statistical methods to compare the performance of the</w:t>
      </w:r>
      <w:r>
        <w:t xml:space="preserve"> </w:t>
      </w:r>
      <w:r>
        <w:rPr>
          <w:bCs/>
          <w:b/>
        </w:rPr>
        <w:t xml:space="preserve">Sales Executive</w:t>
      </w:r>
      <w:r>
        <w:t xml:space="preserve"> </w:t>
      </w:r>
      <w:r>
        <w:t xml:space="preserve">in the Experimental Group against the Control Group.</w:t>
      </w:r>
    </w:p>
    <w:bookmarkEnd w:id="29"/>
    <w:bookmarkEnd w:id="30"/>
    <w:bookmarkStart w:id="31" w:name="data-collection-metrics"/>
    <w:p>
      <w:pPr>
        <w:pStyle w:val="Heading2"/>
      </w:pPr>
      <w:r>
        <w:t xml:space="preserve">5. Data Collection Metrics</w:t>
      </w:r>
    </w:p>
    <w:p>
      <w:pPr>
        <w:pStyle w:val="FirstParagraph"/>
      </w:pPr>
      <w:r>
        <w:t xml:space="preserve">The following key performance indicators (KPIs) will be tracked for each</w:t>
      </w:r>
      <w:r>
        <w:t xml:space="preserve"> </w:t>
      </w:r>
      <w:r>
        <w:rPr>
          <w:bCs/>
          <w:b/>
        </w:rPr>
        <w:t xml:space="preserve">Sales Executive</w:t>
      </w:r>
      <w:r>
        <w:t xml:space="preserve">:</w:t>
      </w:r>
    </w:p>
    <w:p>
      <w:pPr>
        <w:numPr>
          <w:ilvl w:val="0"/>
          <w:numId w:val="1005"/>
        </w:numPr>
        <w:pStyle w:val="Compact"/>
      </w:pPr>
      <w:r>
        <w:rPr>
          <w:bCs/>
          <w:b/>
        </w:rPr>
        <w:t xml:space="preserve">Revenue Generated:</w:t>
      </w:r>
      <w:r>
        <w:t xml:space="preserve"> </w:t>
      </w:r>
      <w:r>
        <w:t xml:space="preserve">Total sales value closed during the experiment period.</w:t>
      </w:r>
    </w:p>
    <w:p>
      <w:pPr>
        <w:numPr>
          <w:ilvl w:val="0"/>
          <w:numId w:val="1005"/>
        </w:numPr>
        <w:pStyle w:val="Compact"/>
      </w:pPr>
      <w:r>
        <w:rPr>
          <w:bCs/>
          <w:b/>
        </w:rPr>
        <w:t xml:space="preserve">Lead Conversion Rate:</w:t>
      </w:r>
      <w:r>
        <w:t xml:space="preserve"> </w:t>
      </w:r>
      <w:r>
        <w:t xml:space="preserve">Percentage of leads converted into paying clients.</w:t>
      </w:r>
    </w:p>
    <w:p>
      <w:pPr>
        <w:numPr>
          <w:ilvl w:val="0"/>
          <w:numId w:val="1005"/>
        </w:numPr>
        <w:pStyle w:val="Compact"/>
      </w:pPr>
      <w:r>
        <w:rPr>
          <w:bCs/>
          <w:b/>
        </w:rPr>
        <w:t xml:space="preserve">Client Satisfaction Score:</w:t>
      </w:r>
      <w:r>
        <w:t xml:space="preserve"> </w:t>
      </w:r>
      <w:r>
        <w:t xml:space="preserve">Measured via post-interaction surveys distributed to clients in</w:t>
      </w:r>
      <w:r>
        <w:t xml:space="preserve"> </w:t>
      </w:r>
      <w:r>
        <w:rPr>
          <w:bCs/>
          <w:b/>
        </w:rPr>
        <w:t xml:space="preserve">China Guangzhou</w:t>
      </w:r>
      <w:r>
        <w:t xml:space="preserve">.</w:t>
      </w:r>
    </w:p>
    <w:p>
      <w:pPr>
        <w:numPr>
          <w:ilvl w:val="0"/>
          <w:numId w:val="1005"/>
        </w:numPr>
        <w:pStyle w:val="Compact"/>
      </w:pPr>
      <w:r>
        <w:rPr>
          <w:bCs/>
          <w:b/>
        </w:rPr>
        <w:t xml:space="preserve">Tool Adoption Rate:</w:t>
      </w:r>
      <w:r>
        <w:t xml:space="preserve"> </w:t>
      </w:r>
      <w:r>
        <w:t xml:space="preserve">Frequency of use of the new digital tools by the Experimental Group.</w:t>
      </w:r>
    </w:p>
    <w:bookmarkEnd w:id="31"/>
    <w:bookmarkStart w:id="32" w:name="ethical-considerations"/>
    <w:p>
      <w:pPr>
        <w:pStyle w:val="Heading2"/>
      </w:pPr>
      <w:r>
        <w:t xml:space="preserve">6. Ethical Considerations</w:t>
      </w:r>
    </w:p>
    <w:p>
      <w:pPr>
        <w:pStyle w:val="FirstParagraph"/>
      </w:pPr>
      <w:r>
        <w:t xml:space="preserve">This experiment adheres to strict ethical guidelines. All</w:t>
      </w:r>
      <w:r>
        <w:t xml:space="preserve"> </w:t>
      </w:r>
      <w:r>
        <w:rPr>
          <w:bCs/>
          <w:b/>
        </w:rPr>
        <w:t xml:space="preserve">Sales Executive</w:t>
      </w:r>
      <w:r>
        <w:t xml:space="preserve"> </w:t>
      </w:r>
      <w:r>
        <w:t xml:space="preserve">participants will provide informed consent before joining the study. Data privacy will be maintained in accordance with the Personal Information Protection Law (PIPL) of the People's Republic of China. No participant will be penalized for their performance during the experiment, and all data will be anonymized for analysis.</w:t>
      </w:r>
    </w:p>
    <w:bookmarkEnd w:id="32"/>
    <w:bookmarkStart w:id="33" w:name="conclusion"/>
    <w:p>
      <w:pPr>
        <w:pStyle w:val="Heading2"/>
      </w:pPr>
      <w:r>
        <w:t xml:space="preserve">7. Conclusion</w:t>
      </w:r>
    </w:p>
    <w:p>
      <w:pPr>
        <w:pStyle w:val="FirstParagraph"/>
      </w:pPr>
      <w:r>
        <w:t xml:space="preserve">This Experiment Protocol provides a structured approach to evaluating the effectiveness of modern sales strategies tailored for the</w:t>
      </w:r>
      <w:r>
        <w:t xml:space="preserve"> </w:t>
      </w:r>
      <w:r>
        <w:rPr>
          <w:bCs/>
          <w:b/>
        </w:rPr>
        <w:t xml:space="preserve">Sales Executive</w:t>
      </w:r>
      <w:r>
        <w:t xml:space="preserve"> </w:t>
      </w:r>
      <w:r>
        <w:t xml:space="preserve">in</w:t>
      </w:r>
      <w:r>
        <w:t xml:space="preserve"> </w:t>
      </w:r>
      <w:r>
        <w:rPr>
          <w:bCs/>
          <w:b/>
        </w:rPr>
        <w:t xml:space="preserve">China Guangzhou</w:t>
      </w:r>
      <w:r>
        <w:t xml:space="preserve">. By combining technological innovation with cultural intelligence, this study aims to deliver actionable insights that can enhance sales performance and drive business growth in one of China's most vital economic regions.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China Guangzhou</dc:title>
  <dc:creator/>
  <dc:language>en</dc:language>
  <cp:keywords/>
  <dcterms:created xsi:type="dcterms:W3CDTF">2026-10-10T06:24:44Z</dcterms:created>
  <dcterms:modified xsi:type="dcterms:W3CDTF">2026-10-10T06:24:44Z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