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Germany</w:t>
      </w:r>
      <w:r>
        <w:t xml:space="preserve"> </w:t>
      </w:r>
      <w:r>
        <w:t xml:space="preserve">Munich</w:t>
      </w:r>
    </w:p>
    <w:bookmarkStart w:id="30" w:name="X0d1bcf559129ba6d3be8e22d15cd682481d4243"/>
    <w:p>
      <w:pPr>
        <w:pStyle w:val="Heading1"/>
      </w:pPr>
      <w:r>
        <w:t xml:space="preserve">Experiment Protocol: Sales Executive Performance Optimization in Germany Munich</w:t>
      </w:r>
    </w:p>
    <w:p>
      <w:pPr>
        <w:pStyle w:val="FirstParagraph"/>
      </w:pPr>
      <w:r>
        <w:rPr>
          <w:bCs/>
          <w:b/>
        </w:rPr>
        <w:t xml:space="preserve">Protocol ID:</w:t>
      </w:r>
      <w:r>
        <w:t xml:space="preserve"> </w:t>
      </w:r>
      <w:r>
        <w:t xml:space="preserve">EXP-MUC-SE-2023-001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Munich, Bavaria, Germany</w:t>
      </w:r>
    </w:p>
    <w:p>
      <w:pPr>
        <w:pStyle w:val="BodyText"/>
      </w:pPr>
      <w:r>
        <w:rPr>
          <w:bCs/>
          <w:b/>
        </w:rPr>
        <w:t xml:space="preserve">Subject Role:</w:t>
      </w:r>
      <w:r>
        <w:t xml:space="preserve"> </w:t>
      </w:r>
      <w:r>
        <w:t xml:space="preserve">Sales Executive</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assessing and optimizing the performance of Sales Executives operating within the dynamic business environment of Germany Munich. Munich is recognized as a leading economic hub in Europe, particularly for technology, automotive, and finance sectors. The primary objective of this experiment is to determine the efficacy of a new consultative selling framework compared to traditional transactional methods when employed by Sales Executives in this specific geographic and cultural context.</w:t>
      </w:r>
    </w:p>
    <w:p>
      <w:pPr>
        <w:pStyle w:val="BodyText"/>
      </w:pPr>
      <w:r>
        <w:t xml:space="preserve">The experiment aims to quantify improvements in key performance indicators (KPIs) such as conversion rates, average deal size, and customer satisfaction scores. Furthermore, it seeks to understand how local cultural nuances in Munich influence the reception of different sales strategies.</w:t>
      </w:r>
    </w:p>
    <w:bookmarkEnd w:id="20"/>
    <w:bookmarkStart w:id="21" w:name="scope-and-context"/>
    <w:p>
      <w:pPr>
        <w:pStyle w:val="Heading2"/>
      </w:pPr>
      <w:r>
        <w:t xml:space="preserve">2. Scope and Context</w:t>
      </w:r>
    </w:p>
    <w:p>
      <w:pPr>
        <w:pStyle w:val="FirstParagraph"/>
      </w:pPr>
      <w:r>
        <w:t xml:space="preserve">The scope of this experiment is strictly limited to Sales Executives based in Munich, Germany. The selection of Munich is deliberate due to its high concentration of B2B decision-makers and its reputation for valuing precision, quality, and long-term partnerships. The experiment will run for a period of 12 weeks, covering the Q4 business cycle, which is critical for annual sales targets in the German market.</w:t>
      </w:r>
    </w:p>
    <w:p>
      <w:pPr>
        <w:pStyle w:val="BodyText"/>
      </w:pPr>
      <w:r>
        <w:t xml:space="preserve">All participants must adhere to German data protection laws, specifically the General Data Protection Regulation (GDPR), when handling customer data during the experiment. The protocol emphasizes ethical sales practices aligned with German business standards.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experiment will involve a sample size of 40 Sales Executives currently employed in Munich. Participants will be selected based on the following criteria:</w:t>
      </w:r>
    </w:p>
    <w:p>
      <w:pPr>
        <w:numPr>
          <w:ilvl w:val="0"/>
          <w:numId w:val="1001"/>
        </w:numPr>
        <w:pStyle w:val="Compact"/>
      </w:pPr>
      <w:r>
        <w:t xml:space="preserve">Minimum of two years of experience in B2B sales.</w:t>
      </w:r>
    </w:p>
    <w:p>
      <w:pPr>
        <w:numPr>
          <w:ilvl w:val="0"/>
          <w:numId w:val="1001"/>
        </w:numPr>
        <w:pStyle w:val="Compact"/>
      </w:pPr>
      <w:r>
        <w:t xml:space="preserve">Fluency in German and English.</w:t>
      </w:r>
    </w:p>
    <w:p>
      <w:pPr>
        <w:numPr>
          <w:ilvl w:val="0"/>
          <w:numId w:val="1001"/>
        </w:numPr>
        <w:pStyle w:val="Compact"/>
      </w:pPr>
      <w:r>
        <w:t xml:space="preserve">Current territory includes the Munich metropolitan area.</w:t>
      </w:r>
    </w:p>
    <w:p>
      <w:pPr>
        <w:pStyle w:val="FirstParagraph"/>
      </w:pPr>
      <w:r>
        <w:t xml:space="preserve">Participants will be randomly assigned to two groups: the Control Group (Group A) and the Experimental Group (Group B).</w:t>
      </w:r>
    </w:p>
    <w:bookmarkEnd w:id="22"/>
    <w:bookmarkStart w:id="23" w:name="group-definitions"/>
    <w:p>
      <w:pPr>
        <w:pStyle w:val="Heading3"/>
      </w:pPr>
      <w:r>
        <w:t xml:space="preserve">3.2 Group Definitions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Group</w:t>
            </w:r>
          </w:p>
        </w:tc>
        <w:tc>
          <w:tcPr/>
          <w:p>
            <w:pPr>
              <w:pStyle w:val="Compact"/>
              <w:jc w:val="left"/>
            </w:pPr>
            <w:r>
              <w:t xml:space="preserve">Size</w:t>
            </w:r>
          </w:p>
        </w:tc>
        <w:tc>
          <w:tcPr/>
          <w:p>
            <w:pPr>
              <w:pStyle w:val="Compact"/>
              <w:jc w:val="left"/>
            </w:pPr>
            <w:r>
              <w:t xml:space="preserve">Sales Approach</w:t>
            </w:r>
          </w:p>
        </w:tc>
        <w:tc>
          <w:tcPr/>
          <w:p>
            <w:pPr>
              <w:pStyle w:val="Compact"/>
              <w:jc w:val="left"/>
            </w:pPr>
            <w:r>
              <w:t xml:space="preserve">Description</w:t>
            </w:r>
          </w:p>
        </w:tc>
      </w:tr>
      <w:tr>
        <w:tc>
          <w:tcPr/>
          <w:p>
            <w:pPr>
              <w:pStyle w:val="Compact"/>
              <w:jc w:val="left"/>
            </w:pPr>
            <w:r>
              <w:t xml:space="preserve">Control Group (A)</w:t>
            </w:r>
          </w:p>
        </w:tc>
        <w:tc>
          <w:tcPr/>
          <w:p>
            <w:pPr>
              <w:pStyle w:val="Compact"/>
              <w:jc w:val="left"/>
            </w:pPr>
            <w:r>
              <w:t xml:space="preserve">20</w:t>
            </w:r>
          </w:p>
        </w:tc>
        <w:tc>
          <w:tcPr/>
          <w:p>
            <w:pPr>
              <w:pStyle w:val="Compact"/>
              <w:jc w:val="left"/>
            </w:pPr>
            <w:r>
              <w:t xml:space="preserve">Traditional Transactional</w:t>
            </w:r>
          </w:p>
        </w:tc>
        <w:tc>
          <w:tcPr/>
          <w:p>
            <w:pPr>
              <w:pStyle w:val="Compact"/>
              <w:jc w:val="left"/>
            </w:pPr>
            <w:r>
              <w:t xml:space="preserve">Focus on product features, price negotiation, and closing speed. Standard scripts provided.</w:t>
            </w:r>
          </w:p>
        </w:tc>
      </w:tr>
      <w:tr>
        <w:tc>
          <w:tcPr/>
          <w:p>
            <w:pPr>
              <w:pStyle w:val="Compact"/>
              <w:jc w:val="left"/>
            </w:pPr>
            <w:r>
              <w:t xml:space="preserve">Experimental Group (B)</w:t>
            </w:r>
          </w:p>
        </w:tc>
        <w:tc>
          <w:tcPr/>
          <w:p>
            <w:pPr>
              <w:pStyle w:val="Compact"/>
              <w:jc w:val="left"/>
            </w:pPr>
            <w:r>
              <w:t xml:space="preserve">20</w:t>
            </w:r>
          </w:p>
        </w:tc>
        <w:tc>
          <w:tcPr/>
          <w:p>
            <w:pPr>
              <w:pStyle w:val="Compact"/>
              <w:jc w:val="left"/>
            </w:pPr>
            <w:r>
              <w:t xml:space="preserve">Consultative Solution Selling</w:t>
            </w:r>
          </w:p>
        </w:tc>
        <w:tc>
          <w:tcPr/>
          <w:p>
            <w:pPr>
              <w:pStyle w:val="Compact"/>
              <w:jc w:val="left"/>
            </w:pPr>
            <w:r>
              <w:t xml:space="preserve">Focus on client needs analysis, value proposition, and long-term relationship building. Training on Munich-specific business etiquette included.</w:t>
            </w:r>
          </w:p>
        </w:tc>
      </w:tr>
    </w:tbl>
    <w:bookmarkEnd w:id="23"/>
    <w:bookmarkStart w:id="24" w:name="training-and-preparation"/>
    <w:p>
      <w:pPr>
        <w:pStyle w:val="Heading3"/>
      </w:pPr>
      <w:r>
        <w:t xml:space="preserve">3.3 Training and Preparation</w:t>
      </w:r>
    </w:p>
    <w:p>
      <w:pPr>
        <w:pStyle w:val="FirstParagraph"/>
      </w:pPr>
      <w:r>
        <w:t xml:space="preserve">Before the experiment begins, all Sales Executives will undergo a baseline assessment. Group B will receive an intensive 3-day workshop on consultative selling techniques, emphasizing the importance of trust and expertise, which are highly valued in German business culture. The training will also cover local insights specific to Munich, such as industry clusters and networking norms.</w:t>
      </w:r>
    </w:p>
    <w:bookmarkEnd w:id="24"/>
    <w:bookmarkEnd w:id="25"/>
    <w:bookmarkStart w:id="26" w:name="data-collection-and-metrics"/>
    <w:p>
      <w:pPr>
        <w:pStyle w:val="Heading2"/>
      </w:pPr>
      <w:r>
        <w:t xml:space="preserve">4. Data Collection and Metrics</w:t>
      </w:r>
    </w:p>
    <w:p>
      <w:pPr>
        <w:pStyle w:val="FirstParagraph"/>
      </w:pPr>
      <w:r>
        <w:t xml:space="preserve">Data will be collected weekly throughout the 12-week period. The following metrics will be tracked for each Sales Executive:</w:t>
      </w:r>
    </w:p>
    <w:p>
      <w:pPr>
        <w:numPr>
          <w:ilvl w:val="0"/>
          <w:numId w:val="1002"/>
        </w:numPr>
        <w:pStyle w:val="Compact"/>
      </w:pPr>
      <w:r>
        <w:rPr>
          <w:bCs/>
          <w:b/>
        </w:rPr>
        <w:t xml:space="preserve">Conversion Rate:</w:t>
      </w:r>
      <w:r>
        <w:t xml:space="preserve"> </w:t>
      </w:r>
      <w:r>
        <w:t xml:space="preserve">Percentage of qualified leads converted to closed deals.</w:t>
      </w:r>
    </w:p>
    <w:p>
      <w:pPr>
        <w:numPr>
          <w:ilvl w:val="0"/>
          <w:numId w:val="1002"/>
        </w:numPr>
        <w:pStyle w:val="Compact"/>
      </w:pPr>
      <w:r>
        <w:rPr>
          <w:bCs/>
          <w:b/>
        </w:rPr>
        <w:t xml:space="preserve">Average Deal Size:</w:t>
      </w:r>
      <w:r>
        <w:t xml:space="preserve"> </w:t>
      </w:r>
      <w:r>
        <w:t xml:space="preserve">Total revenue generated divided by the number of closed deals.</w:t>
      </w:r>
    </w:p>
    <w:p>
      <w:pPr>
        <w:numPr>
          <w:ilvl w:val="0"/>
          <w:numId w:val="1002"/>
        </w:numPr>
        <w:pStyle w:val="Compact"/>
      </w:pPr>
      <w:r>
        <w:rPr>
          <w:bCs/>
          <w:b/>
        </w:rPr>
        <w:t xml:space="preserve">Sales Cycle Length:</w:t>
      </w:r>
      <w:r>
        <w:t xml:space="preserve"> </w:t>
      </w:r>
      <w:r>
        <w:t xml:space="preserve">Average time from initial contact to contract signing.</w:t>
      </w:r>
    </w:p>
    <w:p>
      <w:pPr>
        <w:numPr>
          <w:ilvl w:val="0"/>
          <w:numId w:val="1002"/>
        </w:numPr>
        <w:pStyle w:val="Compact"/>
      </w:pPr>
      <w:r>
        <w:rPr>
          <w:bCs/>
          <w:b/>
        </w:rPr>
        <w:t xml:space="preserve">Customer Satisfaction Score (CSAT):</w:t>
      </w:r>
      <w:r>
        <w:t xml:space="preserve"> </w:t>
      </w:r>
      <w:r>
        <w:t xml:space="preserve">Post-sale survey results from Munich-based clients.</w:t>
      </w:r>
    </w:p>
    <w:p>
      <w:pPr>
        <w:numPr>
          <w:ilvl w:val="0"/>
          <w:numId w:val="1002"/>
        </w:numPr>
        <w:pStyle w:val="Compact"/>
      </w:pPr>
      <w:r>
        <w:rPr>
          <w:bCs/>
          <w:b/>
        </w:rPr>
        <w:t xml:space="preserve">Activity Metrics:</w:t>
      </w:r>
      <w:r>
        <w:t xml:space="preserve"> </w:t>
      </w:r>
      <w:r>
        <w:t xml:space="preserve">Number of meetings, calls, and proposals sent.</w:t>
      </w:r>
    </w:p>
    <w:p>
      <w:pPr>
        <w:pStyle w:val="FirstParagraph"/>
      </w:pPr>
      <w:r>
        <w:t xml:space="preserve">All data will be anonymized to comply with GDPR requirements. A secure CRM system will be used to log all interactions and outcomes.</w:t>
      </w:r>
    </w:p>
    <w:bookmarkEnd w:id="26"/>
    <w:bookmarkStart w:id="27" w:name="risk-management-and-compliance"/>
    <w:p>
      <w:pPr>
        <w:pStyle w:val="Heading2"/>
      </w:pPr>
      <w:r>
        <w:t xml:space="preserve">5. Risk Management and Compliance</w:t>
      </w:r>
    </w:p>
    <w:p>
      <w:pPr>
        <w:pStyle w:val="FirstParagraph"/>
      </w:pPr>
      <w:r>
        <w:t xml:space="preserve">Given the regulatory environment in Germany, strict adherence to compliance is mandatory. The experiment protocol includes the following risk mitigation strategies:</w:t>
      </w:r>
    </w:p>
    <w:p>
      <w:pPr>
        <w:numPr>
          <w:ilvl w:val="0"/>
          <w:numId w:val="1003"/>
        </w:numPr>
        <w:pStyle w:val="Compact"/>
      </w:pPr>
      <w:r>
        <w:rPr>
          <w:bCs/>
          <w:b/>
        </w:rPr>
        <w:t xml:space="preserve">Data Privacy:</w:t>
      </w:r>
      <w:r>
        <w:t xml:space="preserve"> </w:t>
      </w:r>
      <w:r>
        <w:t xml:space="preserve">All customer data will be encrypted and stored on servers located within the European Union.</w:t>
      </w:r>
    </w:p>
    <w:p>
      <w:pPr>
        <w:numPr>
          <w:ilvl w:val="0"/>
          <w:numId w:val="1003"/>
        </w:numPr>
        <w:pStyle w:val="Compact"/>
      </w:pPr>
      <w:r>
        <w:rPr>
          <w:bCs/>
          <w:b/>
        </w:rPr>
        <w:t xml:space="preserve">Ethical Standards:</w:t>
      </w:r>
      <w:r>
        <w:t xml:space="preserve"> </w:t>
      </w:r>
      <w:r>
        <w:t xml:space="preserve">Sales Executives are prohibited from using misleading information or high-pressure tactics. Any violation will result in immediate disqualification from the experiment.</w:t>
      </w:r>
    </w:p>
    <w:p>
      <w:pPr>
        <w:numPr>
          <w:ilvl w:val="0"/>
          <w:numId w:val="1003"/>
        </w:numPr>
        <w:pStyle w:val="Compact"/>
      </w:pPr>
      <w:r>
        <w:rPr>
          <w:bCs/>
          <w:b/>
        </w:rPr>
        <w:t xml:space="preserve">Work-Life Balance:</w:t>
      </w:r>
      <w:r>
        <w:t xml:space="preserve"> </w:t>
      </w:r>
      <w:r>
        <w:t xml:space="preserve">The experiment will respect German labor laws regarding working hours and overtime. No participant will be pressured to work beyond legal limits to achieve experimental goals.</w:t>
      </w:r>
    </w:p>
    <w:bookmarkEnd w:id="27"/>
    <w:bookmarkStart w:id="28" w:name="analysis-and-reporting"/>
    <w:p>
      <w:pPr>
        <w:pStyle w:val="Heading2"/>
      </w:pPr>
      <w:r>
        <w:t xml:space="preserve">6. Analysis and Reporting</w:t>
      </w:r>
    </w:p>
    <w:p>
      <w:pPr>
        <w:pStyle w:val="FirstParagraph"/>
      </w:pPr>
      <w:r>
        <w:t xml:space="preserve">At the conclusion of the 12-week period, data will be analyzed using statistical methods to determine significant differences between Group A and Group B. The analysis will focus on whether the consultative approach leads to superior outcomes in the Munich market. A final report will be generated, detailing findings, recommendations, and potential areas for further research.</w:t>
      </w:r>
    </w:p>
    <w:p>
      <w:pPr>
        <w:pStyle w:val="BodyText"/>
      </w:pPr>
      <w:r>
        <w:t xml:space="preserve">The report will also include qualitative feedback from Sales Executives regarding their experiences with the different sales approaches. This feedback will provide valuable insights into the practical challenges and benefits of implementing new sales strategies in Germany Munich.</w:t>
      </w:r>
    </w:p>
    <w:bookmarkEnd w:id="28"/>
    <w:bookmarkStart w:id="29" w:name="conclusion"/>
    <w:p>
      <w:pPr>
        <w:pStyle w:val="Heading2"/>
      </w:pPr>
      <w:r>
        <w:t xml:space="preserve">7. Conclusion</w:t>
      </w:r>
    </w:p>
    <w:p>
      <w:pPr>
        <w:pStyle w:val="FirstParagraph"/>
      </w:pPr>
      <w:r>
        <w:t xml:space="preserve">This Experiment Protocol provides a structured framework for evaluating the performance of Sales Executives in Munich, Germany. By comparing traditional and consultative sales methods, the experiment aims to generate actionable insights that can enhance sales effectiveness in this competitive market. The findings will contribute to a deeper understanding of how cultural and regional factors influence sales success, ultimately supporting the development of more tailored and effective sales strategies for the German market.</w:t>
      </w:r>
    </w:p>
    <w:p>
      <w:pPr>
        <w:pStyle w:val="BodyText"/>
      </w:pPr>
      <w:r>
        <w:rPr>
          <w:bCs/>
          <w:b/>
        </w:rPr>
        <w:t xml:space="preserve">Note:</w:t>
      </w:r>
      <w:r>
        <w:t xml:space="preserve"> </w:t>
      </w:r>
      <w:r>
        <w:t xml:space="preserve">This protocol is subject to review and approval by the company's legal and compliance departments before implementation. Any modifications must be documented and approved by the project lead.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Germany Munich</dc:title>
  <dc:creator/>
  <dc:language>en</dc:language>
  <cp:keywords/>
  <dcterms:created xsi:type="dcterms:W3CDTF">2026-10-10T02:16:06Z</dcterms:created>
  <dcterms:modified xsi:type="dcterms:W3CDTF">2026-10-10T02:16:06Z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