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Israel</w:t>
      </w:r>
      <w:r>
        <w:t xml:space="preserve"> </w:t>
      </w:r>
      <w:r>
        <w:t xml:space="preserve">Tel</w:t>
      </w:r>
      <w:r>
        <w:t xml:space="preserve"> </w:t>
      </w:r>
      <w:r>
        <w:t xml:space="preserve">Aviv</w:t>
      </w:r>
    </w:p>
    <w:bookmarkStart w:id="37" w:name="X737fad5f26bf5c49f4f5215f3114e7cfcf66362"/>
    <w:p>
      <w:pPr>
        <w:pStyle w:val="Heading1"/>
      </w:pPr>
      <w:r>
        <w:t xml:space="preserve">Experiment Protocol: Sales Executive Performance Optimization in Israel Tel Aviv</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and enhance the performance metrics of Sales Executives operating within the dynamic business environment of Israel Tel Aviv. Tel Aviv, often referred to as the "Startup Nation's" capital, presents a unique market characterized by rapid technological adoption, high competition, and a culturally distinct approach to business negotiations.</w:t>
      </w:r>
    </w:p>
    <w:p>
      <w:pPr>
        <w:pStyle w:val="BodyText"/>
      </w:pPr>
      <w:r>
        <w:t xml:space="preserve">The primary objective of this experiment is to determine the efficacy of a new consultative selling framework compared to traditional transactional methods. By isolating variables within the Tel Aviv market, we aim to generate actionable data that will refine our sales strategies, improve conversion rates, and foster stronger client relationships in this specific geographic region.</w:t>
      </w:r>
    </w:p>
    <w:bookmarkEnd w:id="20"/>
    <w:bookmarkStart w:id="24" w:name="objectives-and-hypotheses"/>
    <w:p>
      <w:pPr>
        <w:pStyle w:val="Heading2"/>
      </w:pPr>
      <w:r>
        <w:t xml:space="preserve">2. Objectives and Hypotheses</w:t>
      </w:r>
    </w:p>
    <w:bookmarkStart w:id="21" w:name="primary-objective"/>
    <w:p>
      <w:pPr>
        <w:pStyle w:val="Heading3"/>
      </w:pPr>
      <w:r>
        <w:t xml:space="preserve">2.1 Primary Objective</w:t>
      </w:r>
    </w:p>
    <w:p>
      <w:pPr>
        <w:pStyle w:val="FirstParagraph"/>
      </w:pPr>
      <w:r>
        <w:t xml:space="preserve">To measure the impact of a localized, relationship-driven consultative sales methodology on the quarterly revenue generated by Sales Executives in the Tel Aviv metropolitan area.</w:t>
      </w:r>
    </w:p>
    <w:bookmarkEnd w:id="21"/>
    <w:bookmarkStart w:id="22" w:name="secondary-objectives"/>
    <w:p>
      <w:pPr>
        <w:pStyle w:val="Heading3"/>
      </w:pPr>
      <w:r>
        <w:t xml:space="preserve">2.2 Secondary Objectives</w:t>
      </w:r>
    </w:p>
    <w:p>
      <w:pPr>
        <w:numPr>
          <w:ilvl w:val="0"/>
          <w:numId w:val="1001"/>
        </w:numPr>
        <w:pStyle w:val="Compact"/>
      </w:pPr>
      <w:r>
        <w:t xml:space="preserve">To assess the correlation between cultural adaptability training and client retention rates in Israel.</w:t>
      </w:r>
    </w:p>
    <w:p>
      <w:pPr>
        <w:numPr>
          <w:ilvl w:val="0"/>
          <w:numId w:val="1001"/>
        </w:numPr>
        <w:pStyle w:val="Compact"/>
      </w:pPr>
      <w:r>
        <w:t xml:space="preserve">To evaluate the efficiency of digital communication tools preferred by Tel Aviv-based prospects.</w:t>
      </w:r>
    </w:p>
    <w:p>
      <w:pPr>
        <w:numPr>
          <w:ilvl w:val="0"/>
          <w:numId w:val="1001"/>
        </w:numPr>
        <w:pStyle w:val="Compact"/>
      </w:pPr>
      <w:r>
        <w:t xml:space="preserve">To identify specific pain points in the sales cycle unique to the Israeli tech and service sectors.</w:t>
      </w:r>
    </w:p>
    <w:bookmarkEnd w:id="22"/>
    <w:bookmarkStart w:id="23" w:name="hypotheses"/>
    <w:p>
      <w:pPr>
        <w:pStyle w:val="Heading3"/>
      </w:pPr>
      <w:r>
        <w:t xml:space="preserve">2.3 Hypotheses</w:t>
      </w:r>
    </w:p>
    <w:p>
      <w:pPr>
        <w:pStyle w:val="FirstParagraph"/>
      </w:pPr>
      <w:r>
        <w:rPr>
          <w:bCs/>
          <w:b/>
        </w:rPr>
        <w:t xml:space="preserve">H1:</w:t>
      </w:r>
      <w:r>
        <w:t xml:space="preserve"> </w:t>
      </w:r>
      <w:r>
        <w:t xml:space="preserve">Sales Executives utilizing the new consultative framework will achieve a 15% higher close rate than those using the traditional method within the Tel Aviv market.</w:t>
      </w:r>
    </w:p>
    <w:p>
      <w:pPr>
        <w:pStyle w:val="BodyText"/>
      </w:pPr>
      <w:r>
        <w:rPr>
          <w:bCs/>
          <w:b/>
        </w:rPr>
        <w:t xml:space="preserve">H2:</w:t>
      </w:r>
      <w:r>
        <w:t xml:space="preserve"> </w:t>
      </w:r>
      <w:r>
        <w:t xml:space="preserve">Personalized engagement strategies that respect local business etiquette will reduce the average sales cycle length by 10 days.</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experiment will employ a randomized controlled trial (RCT) design. The duration of the experiment is set for one full fiscal quarter (13 weeks) to account for seasonal business fluctuations in Israel.</w:t>
      </w:r>
    </w:p>
    <w:bookmarkEnd w:id="25"/>
    <w:bookmarkStart w:id="26" w:name="participants"/>
    <w:p>
      <w:pPr>
        <w:pStyle w:val="Heading3"/>
      </w:pPr>
      <w:r>
        <w:t xml:space="preserve">3.2 Participants</w:t>
      </w:r>
    </w:p>
    <w:p>
      <w:pPr>
        <w:pStyle w:val="FirstParagraph"/>
      </w:pPr>
      <w:r>
        <w:t xml:space="preserve">The study will involve 40 Sales Executives currently employed in our Tel Aviv headquarters. Participants will be randomly assigned to two groups:</w:t>
      </w:r>
    </w:p>
    <w:p>
      <w:pPr>
        <w:numPr>
          <w:ilvl w:val="0"/>
          <w:numId w:val="1002"/>
        </w:numPr>
        <w:pStyle w:val="Compact"/>
      </w:pPr>
      <w:r>
        <w:rPr>
          <w:bCs/>
          <w:b/>
        </w:rPr>
        <w:t xml:space="preserve">Control Group (n=20):</w:t>
      </w:r>
      <w:r>
        <w:t xml:space="preserve"> </w:t>
      </w:r>
      <w:r>
        <w:t xml:space="preserve">Will continue using the existing standard operating procedures and sales scripts.</w:t>
      </w:r>
    </w:p>
    <w:p>
      <w:pPr>
        <w:numPr>
          <w:ilvl w:val="0"/>
          <w:numId w:val="1002"/>
        </w:numPr>
        <w:pStyle w:val="Compact"/>
      </w:pPr>
      <w:r>
        <w:rPr>
          <w:bCs/>
          <w:b/>
        </w:rPr>
        <w:t xml:space="preserve">Experimental Group (n=20):</w:t>
      </w:r>
      <w:r>
        <w:t xml:space="preserve"> </w:t>
      </w:r>
      <w:r>
        <w:t xml:space="preserve">Will be trained on and required to use the new consultative framework, which emphasizes deep discovery, value proposition alignment, and long-term partnership building.</w:t>
      </w:r>
    </w:p>
    <w:bookmarkEnd w:id="26"/>
    <w:bookmarkStart w:id="27" w:name="target-market"/>
    <w:p>
      <w:pPr>
        <w:pStyle w:val="Heading3"/>
      </w:pPr>
      <w:r>
        <w:t xml:space="preserve">3.3 Target Market</w:t>
      </w:r>
    </w:p>
    <w:p>
      <w:pPr>
        <w:pStyle w:val="FirstParagraph"/>
      </w:pPr>
      <w:r>
        <w:t xml:space="preserve">The target audience for this experiment consists of B2B clients located within Tel Aviv and its immediate surroundings. The focus will be on the technology, fintech, and professional services sectors, which dominate the local economy.</w:t>
      </w:r>
    </w:p>
    <w:bookmarkEnd w:id="27"/>
    <w:bookmarkEnd w:id="28"/>
    <w:bookmarkStart w:id="32" w:name="procedures"/>
    <w:p>
      <w:pPr>
        <w:pStyle w:val="Heading2"/>
      </w:pPr>
      <w:r>
        <w:t xml:space="preserve">4. Procedures</w:t>
      </w:r>
    </w:p>
    <w:bookmarkStart w:id="29" w:name="Xe754fe09d8e5892a9334510d98e4f01dd88d408"/>
    <w:p>
      <w:pPr>
        <w:pStyle w:val="Heading3"/>
      </w:pPr>
      <w:r>
        <w:t xml:space="preserve">4.1 Phase 1: Preparation and Training (Weeks 1-2)</w:t>
      </w:r>
    </w:p>
    <w:p>
      <w:pPr>
        <w:pStyle w:val="FirstParagraph"/>
      </w:pPr>
      <w:r>
        <w:t xml:space="preserve">During the initial two weeks, the Experimental Group will undergo intensive training. This training will cover:</w:t>
      </w:r>
    </w:p>
    <w:p>
      <w:pPr>
        <w:numPr>
          <w:ilvl w:val="0"/>
          <w:numId w:val="1003"/>
        </w:numPr>
        <w:pStyle w:val="Compact"/>
      </w:pPr>
      <w:r>
        <w:rPr>
          <w:bCs/>
          <w:b/>
        </w:rPr>
        <w:t xml:space="preserve">Cultural Nuances:</w:t>
      </w:r>
      <w:r>
        <w:t xml:space="preserve"> </w:t>
      </w:r>
      <w:r>
        <w:t xml:space="preserve">Understanding the direct communication style prevalent in Israeli business culture.</w:t>
      </w:r>
    </w:p>
    <w:p>
      <w:pPr>
        <w:numPr>
          <w:ilvl w:val="0"/>
          <w:numId w:val="1003"/>
        </w:numPr>
        <w:pStyle w:val="Compact"/>
      </w:pPr>
      <w:r>
        <w:rPr>
          <w:bCs/>
          <w:b/>
        </w:rPr>
        <w:t xml:space="preserve">Consultative Techniques:</w:t>
      </w:r>
      <w:r>
        <w:t xml:space="preserve"> </w:t>
      </w:r>
      <w:r>
        <w:t xml:space="preserve">Advanced questioning strategies and active listening skills.</w:t>
      </w:r>
    </w:p>
    <w:p>
      <w:pPr>
        <w:numPr>
          <w:ilvl w:val="0"/>
          <w:numId w:val="1003"/>
        </w:numPr>
        <w:pStyle w:val="Compact"/>
      </w:pPr>
      <w:r>
        <w:rPr>
          <w:bCs/>
          <w:b/>
        </w:rPr>
        <w:t xml:space="preserve">Tool Utilization:</w:t>
      </w:r>
      <w:r>
        <w:t xml:space="preserve"> </w:t>
      </w:r>
      <w:r>
        <w:t xml:space="preserve">Implementation of new CRM features tailored for tracking complex stakeholder maps.</w:t>
      </w:r>
    </w:p>
    <w:p>
      <w:pPr>
        <w:pStyle w:val="FirstParagraph"/>
      </w:pPr>
      <w:r>
        <w:t xml:space="preserve">The Control Group will receive a briefing on the experiment but will not undergo the new training.</w:t>
      </w:r>
    </w:p>
    <w:bookmarkEnd w:id="29"/>
    <w:bookmarkStart w:id="30" w:name="phase-2-execution-weeks-3-12"/>
    <w:p>
      <w:pPr>
        <w:pStyle w:val="Heading3"/>
      </w:pPr>
      <w:r>
        <w:t xml:space="preserve">4.2 Phase 2: Execution (Weeks 3-12)</w:t>
      </w:r>
    </w:p>
    <w:p>
      <w:pPr>
        <w:pStyle w:val="FirstParagraph"/>
      </w:pPr>
      <w:r>
        <w:t xml:space="preserve">Both groups will actively engage with their assigned leads. All interactions must be logged in the central CRM system. Sales Executives in the Experimental Group are required to adhere strictly to the new protocol, including mandatory discovery calls and customized proposal presentations.</w:t>
      </w:r>
    </w:p>
    <w:bookmarkEnd w:id="30"/>
    <w:bookmarkStart w:id="31" w:name="X4cd34b6708632ce752c557080e425c3513aa742"/>
    <w:p>
      <w:pPr>
        <w:pStyle w:val="Heading3"/>
      </w:pPr>
      <w:r>
        <w:t xml:space="preserve">4.3 Phase 3: Data Collection and Analysis (Week 13)</w:t>
      </w:r>
    </w:p>
    <w:p>
      <w:pPr>
        <w:pStyle w:val="FirstParagraph"/>
      </w:pPr>
      <w:r>
        <w:t xml:space="preserve">Upon completion of the quarter, data will be aggregated. Key performance indicators (KPIs) will be extracted and analyzed using statistical software to determine significant differences between the two groups.</w:t>
      </w:r>
    </w:p>
    <w:bookmarkEnd w:id="31"/>
    <w:bookmarkEnd w:id="32"/>
    <w:bookmarkStart w:id="33" w:name="data-collection-and-metrics"/>
    <w:p>
      <w:pPr>
        <w:pStyle w:val="Heading2"/>
      </w:pPr>
      <w:r>
        <w:t xml:space="preserve">5. Data Collection and Metrics</w:t>
      </w:r>
    </w:p>
    <w:p>
      <w:pPr>
        <w:pStyle w:val="FirstParagraph"/>
      </w:pPr>
      <w:r>
        <w:t xml:space="preserve">To ensure the validity of the Experiment Protocol, the following quantitative and qualitative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Conversion Rate</w:t>
            </w:r>
          </w:p>
        </w:tc>
        <w:tc>
          <w:tcPr/>
          <w:p>
            <w:pPr>
              <w:pStyle w:val="Compact"/>
              <w:jc w:val="left"/>
            </w:pPr>
            <w:r>
              <w:t xml:space="preserve">Percentage of leads converted to closed deals.</w:t>
            </w:r>
          </w:p>
        </w:tc>
        <w:tc>
          <w:tcPr/>
          <w:p>
            <w:pPr>
              <w:pStyle w:val="Compact"/>
              <w:jc w:val="left"/>
            </w:pPr>
            <w:r>
              <w:t xml:space="preserve">CRM Analytics</w:t>
            </w:r>
          </w:p>
        </w:tc>
      </w:tr>
      <w:tr>
        <w:tc>
          <w:tcPr/>
          <w:p>
            <w:pPr>
              <w:pStyle w:val="Compact"/>
              <w:jc w:val="left"/>
            </w:pPr>
            <w:r>
              <w:t xml:space="preserve">Average Deal Size</w:t>
            </w:r>
          </w:p>
        </w:tc>
        <w:tc>
          <w:tcPr/>
          <w:p>
            <w:pPr>
              <w:pStyle w:val="Compact"/>
              <w:jc w:val="left"/>
            </w:pPr>
            <w:r>
              <w:t xml:space="preserve">Total revenue divided by the number of closed deals.</w:t>
            </w:r>
          </w:p>
        </w:tc>
        <w:tc>
          <w:tcPr/>
          <w:p>
            <w:pPr>
              <w:pStyle w:val="Compact"/>
              <w:jc w:val="left"/>
            </w:pPr>
            <w:r>
              <w:t xml:space="preserve">Financial Reports</w:t>
            </w:r>
          </w:p>
        </w:tc>
      </w:tr>
      <w:tr>
        <w:tc>
          <w:tcPr/>
          <w:p>
            <w:pPr>
              <w:pStyle w:val="Compact"/>
              <w:jc w:val="left"/>
            </w:pPr>
            <w:r>
              <w:t xml:space="preserve">Sales Cycle Length</w:t>
            </w:r>
          </w:p>
        </w:tc>
        <w:tc>
          <w:tcPr/>
          <w:p>
            <w:pPr>
              <w:pStyle w:val="Compact"/>
              <w:jc w:val="left"/>
            </w:pPr>
            <w:r>
              <w:t xml:space="preserve">Average time from first contact to contract signature.</w:t>
            </w:r>
          </w:p>
        </w:tc>
        <w:tc>
          <w:tcPr/>
          <w:p>
            <w:pPr>
              <w:pStyle w:val="Compact"/>
              <w:jc w:val="left"/>
            </w:pPr>
            <w:r>
              <w:t xml:space="preserve">CRM Timestamps</w:t>
            </w:r>
          </w:p>
        </w:tc>
      </w:tr>
      <w:tr>
        <w:tc>
          <w:tcPr/>
          <w:p>
            <w:pPr>
              <w:pStyle w:val="Compact"/>
              <w:jc w:val="left"/>
            </w:pPr>
            <w:r>
              <w:t xml:space="preserve">Client Satisfaction Score (CSAT)</w:t>
            </w:r>
          </w:p>
        </w:tc>
        <w:tc>
          <w:tcPr/>
          <w:p>
            <w:pPr>
              <w:pStyle w:val="Compact"/>
              <w:jc w:val="left"/>
            </w:pPr>
            <w:r>
              <w:t xml:space="preserve">Post-sale survey results from Tel Aviv-based clients.</w:t>
            </w:r>
          </w:p>
        </w:tc>
        <w:tc>
          <w:tcPr/>
          <w:p>
            <w:pPr>
              <w:pStyle w:val="Compact"/>
              <w:jc w:val="left"/>
            </w:pPr>
            <w:r>
              <w:t xml:space="preserve">Survey Platform</w:t>
            </w:r>
          </w:p>
        </w:tc>
      </w:tr>
      <w:tr>
        <w:tc>
          <w:tcPr/>
          <w:p>
            <w:pPr>
              <w:pStyle w:val="Compact"/>
              <w:jc w:val="left"/>
            </w:pPr>
            <w:r>
              <w:t xml:space="preserve">Activity Volume</w:t>
            </w:r>
          </w:p>
        </w:tc>
        <w:tc>
          <w:tcPr/>
          <w:p>
            <w:pPr>
              <w:pStyle w:val="Compact"/>
              <w:jc w:val="left"/>
            </w:pPr>
            <w:r>
              <w:t xml:space="preserve">Number of calls, emails, and meetings per Sales Executive.</w:t>
            </w:r>
          </w:p>
        </w:tc>
        <w:tc>
          <w:tcPr/>
          <w:p>
            <w:pPr>
              <w:pStyle w:val="Compact"/>
              <w:jc w:val="left"/>
            </w:pPr>
            <w:r>
              <w:t xml:space="preserve">Communication Logs</w:t>
            </w:r>
          </w:p>
        </w:tc>
      </w:tr>
    </w:tbl>
    <w:bookmarkEnd w:id="33"/>
    <w:bookmarkStart w:id="34" w:name="ethical-considerations-and-compliance"/>
    <w:p>
      <w:pPr>
        <w:pStyle w:val="Heading2"/>
      </w:pPr>
      <w:r>
        <w:t xml:space="preserve">6. Ethical Considerations and Compliance</w:t>
      </w:r>
    </w:p>
    <w:p>
      <w:pPr>
        <w:pStyle w:val="FirstParagraph"/>
      </w:pPr>
      <w:r>
        <w:t xml:space="preserve">This experiment adheres to all relevant labor laws in Israel and data protection regulations, including the Israeli Privacy Protection Law. All participants have provided informed consent. The data collected will be anonymized for analysis purposes to protect the identity of individual Sales Executives and clients. There will be no negative repercussions for participants in the Control Group; however, if the Experimental Group shows significantly superior results, the new methodology will be rolled out company-wide.</w:t>
      </w:r>
    </w:p>
    <w:bookmarkEnd w:id="34"/>
    <w:bookmarkStart w:id="35" w:name="risk-management"/>
    <w:p>
      <w:pPr>
        <w:pStyle w:val="Heading2"/>
      </w:pPr>
      <w:r>
        <w:t xml:space="preserve">7. Risk Management</w:t>
      </w:r>
    </w:p>
    <w:p>
      <w:pPr>
        <w:pStyle w:val="FirstParagraph"/>
      </w:pPr>
      <w:r>
        <w:t xml:space="preserve">Potential risks include market volatility in Tel Aviv, which could skew results. To mitigate this, we will monitor external economic indicators throughout the quarter. Additionally, there is a risk of "contamination," where Control Group members might adopt techniques from the Experimental Group. Regular audits of sales calls will be conducted to ensure protocol adherence.</w:t>
      </w:r>
    </w:p>
    <w:bookmarkEnd w:id="35"/>
    <w:bookmarkStart w:id="36" w:name="conclusion-and-expected-outcomes"/>
    <w:p>
      <w:pPr>
        <w:pStyle w:val="Heading2"/>
      </w:pPr>
      <w:r>
        <w:t xml:space="preserve">8. Conclusion and Expected Outcomes</w:t>
      </w:r>
    </w:p>
    <w:p>
      <w:pPr>
        <w:pStyle w:val="FirstParagraph"/>
      </w:pPr>
      <w:r>
        <w:t xml:space="preserve">This Experiment Protocol provides a structured approach to validating new sales strategies within the competitive landscape of Israel Tel Aviv. By rigorously testing the performance of Sales Executives under different methodologies, we anticipate gaining valuable insights that will not only boost immediate revenue but also establish a best-practice model for our regional operations. The success of this experiment will directly influence our strategic planning for the upcoming fiscal year.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Israel Tel Aviv</dc:title>
  <dc:creator/>
  <dc:language>en</dc:language>
  <cp:keywords/>
  <dcterms:created xsi:type="dcterms:W3CDTF">2026-10-10T04:05:53Z</dcterms:created>
  <dcterms:modified xsi:type="dcterms:W3CDTF">2026-10-10T04:05:53Z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