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Japan</w:t>
      </w:r>
      <w:r>
        <w:t xml:space="preserve"> </w:t>
      </w:r>
      <w:r>
        <w:t xml:space="preserve">Tokyo</w:t>
      </w:r>
    </w:p>
    <w:bookmarkStart w:id="33" w:name="X63b9dbd304a1765c08818f3c3797401fd78431e"/>
    <w:p>
      <w:pPr>
        <w:pStyle w:val="Heading1"/>
      </w:pPr>
      <w:r>
        <w:t xml:space="preserve">Experiment Protocol: Sales Executive Performance Optimization</w:t>
      </w:r>
    </w:p>
    <w:p>
      <w:pPr>
        <w:pStyle w:val="FirstParagraph"/>
      </w:pPr>
      <w:r>
        <w:rPr>
          <w:bCs/>
          <w:b/>
        </w:rPr>
        <w:t xml:space="preserve">Protocol ID:</w:t>
      </w:r>
      <w:r>
        <w:t xml:space="preserve"> </w:t>
      </w:r>
      <w:r>
        <w:t xml:space="preserve">JP-TKY-SE-2024-001</w:t>
      </w:r>
    </w:p>
    <w:p>
      <w:pPr>
        <w:pStyle w:val="BodyText"/>
      </w:pPr>
      <w:r>
        <w:rPr>
          <w:bCs/>
          <w:b/>
        </w:rPr>
        <w:t xml:space="preserve">Location:</w:t>
      </w:r>
      <w:r>
        <w:t xml:space="preserve"> </w:t>
      </w:r>
      <w:r>
        <w:t xml:space="preserve">Japan Tokyo (Minato and Chiyoda Wards)</w:t>
      </w:r>
    </w:p>
    <w:p>
      <w:pPr>
        <w:pStyle w:val="BodyText"/>
      </w:pPr>
      <w:r>
        <w:rPr>
          <w:bCs/>
          <w:b/>
        </w:rPr>
        <w:t xml:space="preserve">Subject Role:</w:t>
      </w:r>
      <w:r>
        <w:t xml:space="preserve"> </w:t>
      </w:r>
      <w:r>
        <w:t xml:space="preserve">Sales Executive</w:t>
      </w:r>
    </w:p>
    <w:p>
      <w:pPr>
        <w:pStyle w:val="BodyText"/>
      </w:pPr>
      <w:r>
        <w:rPr>
          <w:bCs/>
          <w:b/>
        </w:rPr>
        <w:t xml:space="preserve">Date of Issue:</w:t>
      </w:r>
      <w:r>
        <w:t xml:space="preserve"> </w:t>
      </w:r>
      <w:r>
        <w:t xml:space="preserve">October 26, 2023</w:t>
      </w:r>
    </w:p>
    <w:p>
      <w:pPr>
        <w:pStyle w:val="BodyText"/>
      </w:pPr>
      <w:r>
        <w:rPr>
          <w:bCs/>
          <w:b/>
        </w:rPr>
        <w:t xml:space="preserve">Version:</w:t>
      </w:r>
      <w:r>
        <w:t xml:space="preserve"> </w:t>
      </w:r>
      <w:r>
        <w:t xml:space="preserve">1.0</w:t>
      </w:r>
    </w:p>
    <w:bookmarkStart w:id="20" w:name="objective"/>
    <w:p>
      <w:pPr>
        <w:pStyle w:val="Heading2"/>
      </w:pPr>
      <w:r>
        <w:t xml:space="preserve">1. Objective</w:t>
      </w:r>
    </w:p>
    <w:p>
      <w:pPr>
        <w:pStyle w:val="FirstParagraph"/>
      </w:pPr>
      <w:r>
        <w:t xml:space="preserve">The primary objective of this Experiment Protocol is to evaluate the efficacy of a hybrid sales methodology tailored specifically for the</w:t>
      </w:r>
      <w:r>
        <w:t xml:space="preserve"> </w:t>
      </w:r>
      <w:r>
        <w:rPr>
          <w:bCs/>
          <w:b/>
        </w:rPr>
        <w:t xml:space="preserve">Sales Executive</w:t>
      </w:r>
      <w:r>
        <w:t xml:space="preserve"> </w:t>
      </w:r>
      <w:r>
        <w:t xml:space="preserve">role within the</w:t>
      </w:r>
      <w:r>
        <w:t xml:space="preserve"> </w:t>
      </w:r>
      <w:r>
        <w:rPr>
          <w:bCs/>
          <w:b/>
        </w:rPr>
        <w:t xml:space="preserve">Japan Tokyo</w:t>
      </w:r>
      <w:r>
        <w:t xml:space="preserve"> </w:t>
      </w:r>
      <w:r>
        <w:t xml:space="preserve">metropolitan market. This experiment aims to determine whether integrating digital-first engagement strategies with traditional Japanese relationship-building practices (known as</w:t>
      </w:r>
      <w:r>
        <w:t xml:space="preserve"> </w:t>
      </w:r>
      <w:r>
        <w:rPr>
          <w:iCs/>
          <w:i/>
        </w:rPr>
        <w:t xml:space="preserve">Kankei</w:t>
      </w:r>
      <w:r>
        <w:t xml:space="preserve">) results in higher conversion rates compared to standard Western-centric sales approaches.</w:t>
      </w:r>
    </w:p>
    <w:p>
      <w:pPr>
        <w:pStyle w:val="BodyText"/>
      </w:pPr>
      <w:r>
        <w:t xml:space="preserve">Specifically, this protocol seeks to measure the impact of localized communication styles, gift-giving etiquette (Omiyage), and hierarchical respect on the performance metrics of Sales Executives operating in Tokyo's competitive B2B sector.</w:t>
      </w:r>
    </w:p>
    <w:bookmarkEnd w:id="20"/>
    <w:bookmarkStart w:id="21" w:name="background-and-context"/>
    <w:p>
      <w:pPr>
        <w:pStyle w:val="Heading2"/>
      </w:pPr>
      <w:r>
        <w:t xml:space="preserve">2. Background and Context</w:t>
      </w:r>
    </w:p>
    <w:p>
      <w:pPr>
        <w:pStyle w:val="FirstParagraph"/>
      </w:pPr>
      <w:r>
        <w:t xml:space="preserve">The</w:t>
      </w:r>
      <w:r>
        <w:t xml:space="preserve"> </w:t>
      </w:r>
      <w:r>
        <w:rPr>
          <w:bCs/>
          <w:b/>
        </w:rPr>
        <w:t xml:space="preserve">Japan Tokyo</w:t>
      </w:r>
      <w:r>
        <w:t xml:space="preserve"> </w:t>
      </w:r>
      <w:r>
        <w:t xml:space="preserve">business environment is characterized by high-context communication, consensus-driven decision-making (Nemawashi), and a strong emphasis on trust and long-term relationships. A standard</w:t>
      </w:r>
      <w:r>
        <w:t xml:space="preserve"> </w:t>
      </w:r>
      <w:r>
        <w:rPr>
          <w:bCs/>
          <w:b/>
        </w:rPr>
        <w:t xml:space="preserve">Sales Executive</w:t>
      </w:r>
      <w:r>
        <w:t xml:space="preserve"> </w:t>
      </w:r>
      <w:r>
        <w:t xml:space="preserve">playbook often fails in this region due to cultural misalignment. This experiment is designed to bridge that gap by testing a modified protocol that respects local customs while leveraging modern sales efficiency tools.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divided into two groups:</w:t>
      </w:r>
    </w:p>
    <w:p>
      <w:pPr>
        <w:numPr>
          <w:ilvl w:val="0"/>
          <w:numId w:val="1001"/>
        </w:numPr>
        <w:pStyle w:val="Compact"/>
      </w:pPr>
      <w:r>
        <w:rPr>
          <w:bCs/>
          <w:b/>
        </w:rPr>
        <w:t xml:space="preserve">Control Group:</w:t>
      </w:r>
      <w:r>
        <w:t xml:space="preserve"> </w:t>
      </w:r>
      <w:r>
        <w:t xml:space="preserve">Sales Executives utilizing the standard global corporate sales script and digital outreach tools.</w:t>
      </w:r>
    </w:p>
    <w:p>
      <w:pPr>
        <w:numPr>
          <w:ilvl w:val="0"/>
          <w:numId w:val="1001"/>
        </w:numPr>
        <w:pStyle w:val="Compact"/>
      </w:pPr>
      <w:r>
        <w:rPr>
          <w:bCs/>
          <w:b/>
        </w:rPr>
        <w:t xml:space="preserve">Experimental Group:</w:t>
      </w:r>
      <w:r>
        <w:t xml:space="preserve"> </w:t>
      </w:r>
      <w:r>
        <w:t xml:space="preserve">Sales Executives utilizing the "Tokyo-Adapted Protocol," which includes specific training on Japanese business etiquette, localized content, and structured relationship-building activities.</w:t>
      </w:r>
    </w:p>
    <w:bookmarkEnd w:id="22"/>
    <w:bookmarkStart w:id="23" w:name="participants"/>
    <w:p>
      <w:pPr>
        <w:pStyle w:val="Heading3"/>
      </w:pPr>
      <w:r>
        <w:t xml:space="preserve">3.2 Participants</w:t>
      </w:r>
    </w:p>
    <w:p>
      <w:pPr>
        <w:pStyle w:val="FirstParagraph"/>
      </w:pPr>
      <w:r>
        <w:t xml:space="preserve">The study will recruit 40 experienced Sales Executives currently based in</w:t>
      </w:r>
      <w:r>
        <w:t xml:space="preserve"> </w:t>
      </w:r>
      <w:r>
        <w:rPr>
          <w:bCs/>
          <w:b/>
        </w:rPr>
        <w:t xml:space="preserve">Japan Tokyo</w:t>
      </w:r>
      <w:r>
        <w:t xml:space="preserve">. Participants must have at least two years of experience in the Japanese market and proficiency in both English and Japanese business terminology. Recruitment will focus on professionals operating in the Minato and Chiyoda wards, where the density of corporate headquarters is highest.</w:t>
      </w:r>
    </w:p>
    <w:bookmarkEnd w:id="23"/>
    <w:bookmarkStart w:id="24" w:name="duration"/>
    <w:p>
      <w:pPr>
        <w:pStyle w:val="Heading3"/>
      </w:pPr>
      <w:r>
        <w:t xml:space="preserve">3.3 Duration</w:t>
      </w:r>
    </w:p>
    <w:p>
      <w:pPr>
        <w:pStyle w:val="FirstParagraph"/>
      </w:pPr>
      <w:r>
        <w:t xml:space="preserve">The experiment will run for a period of 12 weeks, divided into three phases:</w:t>
      </w:r>
    </w:p>
    <w:p>
      <w:pPr>
        <w:numPr>
          <w:ilvl w:val="0"/>
          <w:numId w:val="1002"/>
        </w:numPr>
        <w:pStyle w:val="Compact"/>
      </w:pPr>
      <w:r>
        <w:rPr>
          <w:bCs/>
          <w:b/>
        </w:rPr>
        <w:t xml:space="preserve">Training Phase (Weeks 1-2):</w:t>
      </w:r>
      <w:r>
        <w:t xml:space="preserve"> </w:t>
      </w:r>
      <w:r>
        <w:t xml:space="preserve">Cultural immersion and protocol training for the Experimental Group.</w:t>
      </w:r>
    </w:p>
    <w:p>
      <w:pPr>
        <w:numPr>
          <w:ilvl w:val="0"/>
          <w:numId w:val="1002"/>
        </w:numPr>
        <w:pStyle w:val="Compact"/>
      </w:pPr>
      <w:r>
        <w:rPr>
          <w:bCs/>
          <w:b/>
        </w:rPr>
        <w:t xml:space="preserve">Execution Phase (Weeks 3-10):</w:t>
      </w:r>
      <w:r>
        <w:t xml:space="preserve"> </w:t>
      </w:r>
      <w:r>
        <w:t xml:space="preserve">Active sales cycles following assigned protocols.</w:t>
      </w:r>
    </w:p>
    <w:p>
      <w:pPr>
        <w:numPr>
          <w:ilvl w:val="0"/>
          <w:numId w:val="1002"/>
        </w:numPr>
        <w:pStyle w:val="Compact"/>
      </w:pPr>
      <w:r>
        <w:rPr>
          <w:bCs/>
          <w:b/>
        </w:rPr>
        <w:t xml:space="preserve">Analysis Phase (Weeks 11-12):</w:t>
      </w:r>
      <w:r>
        <w:t xml:space="preserve"> </w:t>
      </w:r>
      <w:r>
        <w:t xml:space="preserve">Data collection and performance review.</w:t>
      </w:r>
    </w:p>
    <w:bookmarkEnd w:id="24"/>
    <w:bookmarkEnd w:id="25"/>
    <w:bookmarkStart w:id="28" w:name="procedures"/>
    <w:p>
      <w:pPr>
        <w:pStyle w:val="Heading2"/>
      </w:pPr>
      <w:r>
        <w:t xml:space="preserve">4. Procedures</w:t>
      </w:r>
    </w:p>
    <w:bookmarkStart w:id="26" w:name="Xade3ab089076b817c9b3684570f94e2c56d1637"/>
    <w:p>
      <w:pPr>
        <w:pStyle w:val="Heading3"/>
      </w:pPr>
      <w:r>
        <w:t xml:space="preserve">4.1 The Tokyo-Adapted Protocol (Experimental Group)</w:t>
      </w:r>
    </w:p>
    <w:p>
      <w:pPr>
        <w:pStyle w:val="FirstParagraph"/>
      </w:pPr>
      <w:r>
        <w:t xml:space="preserve">Sales Executives in the experimental group will adhere to the following specific guidelines:</w:t>
      </w:r>
    </w:p>
    <w:p>
      <w:pPr>
        <w:numPr>
          <w:ilvl w:val="0"/>
          <w:numId w:val="1003"/>
        </w:numPr>
        <w:pStyle w:val="Compact"/>
      </w:pPr>
      <w:r>
        <w:rPr>
          <w:bCs/>
          <w:b/>
        </w:rPr>
        <w:t xml:space="preserve">Initial Contact:</w:t>
      </w:r>
      <w:r>
        <w:t xml:space="preserve"> </w:t>
      </w:r>
      <w:r>
        <w:t xml:space="preserve">Utilization of formal Japanese honorifics (Keigo) in all written and verbal communication. Initial outreach must be preceded by thorough research into the prospect's company hierarchy.</w:t>
      </w:r>
    </w:p>
    <w:p>
      <w:pPr>
        <w:numPr>
          <w:ilvl w:val="0"/>
          <w:numId w:val="1003"/>
        </w:numPr>
        <w:pStyle w:val="Compact"/>
      </w:pPr>
      <w:r>
        <w:rPr>
          <w:bCs/>
          <w:b/>
        </w:rPr>
        <w:t xml:space="preserve">Meeting Etiquette:</w:t>
      </w:r>
      <w:r>
        <w:t xml:space="preserve"> </w:t>
      </w:r>
      <w:r>
        <w:t xml:space="preserve">Strict adherence to punctuality. Business card exchange (Meishi) must be performed with two hands and reviewed respectfully before storage.</w:t>
      </w:r>
    </w:p>
    <w:p>
      <w:pPr>
        <w:numPr>
          <w:ilvl w:val="0"/>
          <w:numId w:val="1003"/>
        </w:numPr>
        <w:pStyle w:val="Compact"/>
      </w:pPr>
      <w:r>
        <w:rPr>
          <w:bCs/>
          <w:b/>
        </w:rPr>
        <w:t xml:space="preserve">Decision Making:</w:t>
      </w:r>
      <w:r>
        <w:t xml:space="preserve"> </w:t>
      </w:r>
      <w:r>
        <w:t xml:space="preserve">Executives must identify all stakeholders involved in the Nemawashi process and ensure consensus is sought before presenting a final proposal.</w:t>
      </w:r>
    </w:p>
    <w:p>
      <w:pPr>
        <w:numPr>
          <w:ilvl w:val="0"/>
          <w:numId w:val="1003"/>
        </w:numPr>
        <w:pStyle w:val="Compact"/>
      </w:pPr>
      <w:r>
        <w:rPr>
          <w:bCs/>
          <w:b/>
        </w:rPr>
        <w:t xml:space="preserve">Relationship Building:</w:t>
      </w:r>
      <w:r>
        <w:t xml:space="preserve"> </w:t>
      </w:r>
      <w:r>
        <w:t xml:space="preserve">Scheduled informal meetings (Nomikai) or coffee meetings are mandatory for prospects showing high interest, focusing on rapport rather than immediate closing.</w:t>
      </w:r>
    </w:p>
    <w:bookmarkEnd w:id="26"/>
    <w:bookmarkStart w:id="27" w:name="control-group-procedures"/>
    <w:p>
      <w:pPr>
        <w:pStyle w:val="Heading3"/>
      </w:pPr>
      <w:r>
        <w:t xml:space="preserve">4.2 Control Group Procedures</w:t>
      </w:r>
    </w:p>
    <w:p>
      <w:pPr>
        <w:pStyle w:val="FirstParagraph"/>
      </w:pPr>
      <w:r>
        <w:t xml:space="preserve">The Control Group will follow the standard global protocol, which emphasizes direct value propositions, rapid follow-up sequences, and individual decision-maker targeting, without specific cultural adaptations for</w:t>
      </w:r>
      <w:r>
        <w:t xml:space="preserve"> </w:t>
      </w:r>
      <w:r>
        <w:rPr>
          <w:bCs/>
          <w:b/>
        </w:rPr>
        <w:t xml:space="preserve">Japan Tokyo</w:t>
      </w:r>
      <w:r>
        <w:t xml:space="preserve">.</w:t>
      </w:r>
    </w:p>
    <w:bookmarkEnd w:id="27"/>
    <w:bookmarkEnd w:id="28"/>
    <w:bookmarkStart w:id="29" w:name="data-collection-and-metrics"/>
    <w:p>
      <w:pPr>
        <w:pStyle w:val="Heading2"/>
      </w:pPr>
      <w:r>
        <w:t xml:space="preserve">5. Data Collection and Metrics</w:t>
      </w:r>
    </w:p>
    <w:p>
      <w:pPr>
        <w:pStyle w:val="FirstParagraph"/>
      </w:pPr>
      <w:r>
        <w:t xml:space="preserve">Performance will be tracked using the company's CRM system. The following Key Performance Indicators (KPIs) will be monitored: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Conversion Rate</w:t>
            </w:r>
          </w:p>
        </w:tc>
        <w:tc>
          <w:tcPr/>
          <w:p>
            <w:pPr>
              <w:pStyle w:val="Compact"/>
              <w:jc w:val="left"/>
            </w:pPr>
            <w:r>
              <w:t xml:space="preserve">Percentage of leads converted to closed deals.</w:t>
            </w:r>
          </w:p>
        </w:tc>
      </w:tr>
      <w:tr>
        <w:tc>
          <w:tcPr/>
          <w:p>
            <w:pPr>
              <w:pStyle w:val="Compact"/>
              <w:jc w:val="left"/>
            </w:pPr>
            <w:r>
              <w:t xml:space="preserve">Sales Cycle Length</w:t>
            </w:r>
          </w:p>
        </w:tc>
        <w:tc>
          <w:tcPr/>
          <w:p>
            <w:pPr>
              <w:pStyle w:val="Compact"/>
              <w:jc w:val="left"/>
            </w:pPr>
            <w:r>
              <w:t xml:space="preserve">Average time from first contact to contract signing.</w:t>
            </w:r>
          </w:p>
        </w:tc>
      </w:tr>
      <w:tr>
        <w:tc>
          <w:tcPr/>
          <w:p>
            <w:pPr>
              <w:pStyle w:val="Compact"/>
              <w:jc w:val="left"/>
            </w:pPr>
            <w:r>
              <w:t xml:space="preserve">Customer Satisfaction Score (CSAT)</w:t>
            </w:r>
          </w:p>
        </w:tc>
        <w:tc>
          <w:tcPr/>
          <w:p>
            <w:pPr>
              <w:pStyle w:val="Compact"/>
              <w:jc w:val="left"/>
            </w:pPr>
            <w:r>
              <w:t xml:space="preserve">Post-interaction survey scores from Tokyo-based clients.</w:t>
            </w:r>
          </w:p>
        </w:tc>
      </w:tr>
      <w:tr>
        <w:tc>
          <w:tcPr/>
          <w:p>
            <w:pPr>
              <w:pStyle w:val="Compact"/>
              <w:jc w:val="left"/>
            </w:pPr>
            <w:r>
              <w:t xml:space="preserve">Meeting Acceptance Rate</w:t>
            </w:r>
          </w:p>
        </w:tc>
        <w:tc>
          <w:tcPr/>
          <w:p>
            <w:pPr>
              <w:pStyle w:val="Compact"/>
              <w:jc w:val="left"/>
            </w:pPr>
            <w:r>
              <w:t xml:space="preserve">Percentage of initial meeting requests accepted by prospects.</w:t>
            </w:r>
          </w:p>
        </w:tc>
      </w:tr>
    </w:tbl>
    <w:bookmarkEnd w:id="29"/>
    <w:bookmarkStart w:id="30" w:name="ethical-considerations"/>
    <w:p>
      <w:pPr>
        <w:pStyle w:val="Heading2"/>
      </w:pPr>
      <w:r>
        <w:t xml:space="preserve">6. Ethical Considerations</w:t>
      </w:r>
    </w:p>
    <w:p>
      <w:pPr>
        <w:pStyle w:val="FirstParagraph"/>
      </w:pPr>
      <w:r>
        <w:t xml:space="preserve">All participants in this Experiment Protocol will provide informed consent. The study adheres to Japanese labor laws and corporate privacy standards. No deceptive practices will be employed in client interactions. The focus remains on enhancing the professional capability of the</w:t>
      </w:r>
      <w:r>
        <w:t xml:space="preserve"> </w:t>
      </w:r>
      <w:r>
        <w:rPr>
          <w:bCs/>
          <w:b/>
        </w:rPr>
        <w:t xml:space="preserve">Sales Executive</w:t>
      </w:r>
      <w:r>
        <w:t xml:space="preserve"> </w:t>
      </w:r>
      <w:r>
        <w:t xml:space="preserve">within the cultural context of</w:t>
      </w:r>
      <w:r>
        <w:t xml:space="preserve"> </w:t>
      </w:r>
      <w:r>
        <w:rPr>
          <w:bCs/>
          <w:b/>
        </w:rPr>
        <w:t xml:space="preserve">Japan Tokyo</w:t>
      </w:r>
      <w:r>
        <w:t xml:space="preserve">.</w:t>
      </w:r>
    </w:p>
    <w:bookmarkEnd w:id="30"/>
    <w:bookmarkStart w:id="31" w:name="risk-management"/>
    <w:p>
      <w:pPr>
        <w:pStyle w:val="Heading2"/>
      </w:pPr>
      <w:r>
        <w:t xml:space="preserve">7. Risk Management</w:t>
      </w:r>
    </w:p>
    <w:p>
      <w:pPr>
        <w:pStyle w:val="FirstParagraph"/>
      </w:pPr>
      <w:r>
        <w:t xml:space="preserve">Potential risks include cultural missteps by Sales Executives in the Experimental Group despite training. To mitigate this, a senior cultural consultant will be available for real-time guidance. Additionally, market volatility in Tokyo may affect sales outcomes; therefore, data will be normalized against regional industry benchmarks.</w:t>
      </w:r>
    </w:p>
    <w:bookmarkEnd w:id="31"/>
    <w:bookmarkStart w:id="32" w:name="conclusion-and-reporting"/>
    <w:p>
      <w:pPr>
        <w:pStyle w:val="Heading2"/>
      </w:pPr>
      <w:r>
        <w:t xml:space="preserve">8. Conclusion and Reporting</w:t>
      </w:r>
    </w:p>
    <w:p>
      <w:pPr>
        <w:pStyle w:val="FirstParagraph"/>
      </w:pPr>
      <w:r>
        <w:t xml:space="preserve">At the conclusion of the 12-week period, a comprehensive report will be generated. This report will detail the comparative performance of the two groups and provide actionable recommendations for optimizing the Sales Executive role in the Japanese market. The findings will inform future training modules and strategic planning for operations in</w:t>
      </w:r>
      <w:r>
        <w:t xml:space="preserve"> </w:t>
      </w:r>
      <w:r>
        <w:rPr>
          <w:bCs/>
          <w:b/>
        </w:rPr>
        <w:t xml:space="preserve">Japan Tokyo</w:t>
      </w:r>
      <w:r>
        <w:t xml:space="preserve">.</w:t>
      </w:r>
    </w:p>
    <w:bookmarkEnd w:id="32"/>
    <w:p>
      <w:pPr>
        <w:pStyle w:val="BodyText"/>
      </w:pPr>
      <w:r>
        <w:t xml:space="preserve">End of Document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Japan Tokyo</dc:title>
  <dc:creator/>
  <dc:language>en</dc:language>
  <cp:keywords/>
  <dcterms:created xsi:type="dcterms:W3CDTF">2026-10-10T01:55:41Z</dcterms:created>
  <dcterms:modified xsi:type="dcterms:W3CDTF">2026-10-10T01:55:41Z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