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Sales</w:t>
      </w:r>
      <w:r>
        <w:t xml:space="preserve"> </w:t>
      </w:r>
      <w:r>
        <w:t xml:space="preserve">Executive</w:t>
      </w:r>
      <w:r>
        <w:t xml:space="preserve"> </w:t>
      </w:r>
      <w:r>
        <w:t xml:space="preserve">Performance</w:t>
      </w:r>
      <w:r>
        <w:t xml:space="preserve"> </w:t>
      </w:r>
      <w:r>
        <w:t xml:space="preserve">Optimization</w:t>
      </w:r>
      <w:r>
        <w:t xml:space="preserve"> </w:t>
      </w:r>
      <w:r>
        <w:t xml:space="preserve">in</w:t>
      </w:r>
      <w:r>
        <w:t xml:space="preserve"> </w:t>
      </w:r>
      <w:r>
        <w:t xml:space="preserve">Almaty,</w:t>
      </w:r>
      <w:r>
        <w:t xml:space="preserve"> </w:t>
      </w:r>
      <w:r>
        <w:t xml:space="preserve">Kazakhstan</w:t>
      </w:r>
    </w:p>
    <w:bookmarkStart w:id="34" w:name="X82dd6a6a89af134bd177badb1b1b8ef4cd684f1"/>
    <w:p>
      <w:pPr>
        <w:pStyle w:val="Heading1"/>
      </w:pPr>
      <w:r>
        <w:t xml:space="preserve">Experiment Protocol: Comparative Analysis of Digital vs. Traditional Sales Methodologies for Sales Executives in Almaty, Kazakhstan</w:t>
      </w:r>
    </w:p>
    <w:p>
      <w:pPr>
        <w:pStyle w:val="FirstParagraph"/>
      </w:pPr>
      <w:r>
        <w:rPr>
          <w:bCs/>
          <w:b/>
        </w:rPr>
        <w:t xml:space="preserve">Protocol ID:</w:t>
      </w:r>
      <w:r>
        <w:t xml:space="preserve"> </w:t>
      </w:r>
      <w:r>
        <w:t xml:space="preserve">KZ-ALM-SE-2024-001</w:t>
      </w:r>
    </w:p>
    <w:p>
      <w:pPr>
        <w:pStyle w:val="BodyText"/>
      </w:pPr>
      <w:r>
        <w:rPr>
          <w:bCs/>
          <w:b/>
        </w:rPr>
        <w:t xml:space="preserve">Date of Issue:</w:t>
      </w:r>
      <w:r>
        <w:t xml:space="preserve"> </w:t>
      </w:r>
      <w:r>
        <w:t xml:space="preserve">October 26, 2024</w:t>
      </w:r>
    </w:p>
    <w:p>
      <w:pPr>
        <w:pStyle w:val="BodyText"/>
      </w:pPr>
      <w:r>
        <w:rPr>
          <w:bCs/>
          <w:b/>
        </w:rPr>
        <w:t xml:space="preserve">Location:</w:t>
      </w:r>
      <w:r>
        <w:t xml:space="preserve"> </w:t>
      </w:r>
      <w:r>
        <w:t xml:space="preserve">Almaty, Kazakhstan</w:t>
      </w:r>
    </w:p>
    <w:p>
      <w:pPr>
        <w:pStyle w:val="BodyText"/>
      </w:pPr>
      <w:r>
        <w:rPr>
          <w:bCs/>
          <w:b/>
        </w:rPr>
        <w:t xml:space="preserve">Subject Role:</w:t>
      </w:r>
      <w:r>
        <w:t xml:space="preserve"> </w:t>
      </w:r>
      <w:r>
        <w:t xml:space="preserve">Sales Executive</w:t>
      </w:r>
    </w:p>
    <w:p>
      <w:pPr>
        <w:pStyle w:val="BodyText"/>
      </w:pPr>
      <w:r>
        <w:rPr>
          <w:bCs/>
          <w:b/>
        </w:rPr>
        <w:t xml:space="preserve">Version:</w:t>
      </w:r>
      <w:r>
        <w:t xml:space="preserve"> </w:t>
      </w:r>
      <w:r>
        <w:t xml:space="preserve">1.0</w:t>
      </w:r>
    </w:p>
    <w:bookmarkStart w:id="20" w:name="introduction-and-background"/>
    <w:p>
      <w:pPr>
        <w:pStyle w:val="Heading2"/>
      </w:pPr>
      <w:r>
        <w:t xml:space="preserve">1. Introduction and Background</w:t>
      </w:r>
    </w:p>
    <w:p>
      <w:pPr>
        <w:pStyle w:val="FirstParagraph"/>
      </w:pPr>
      <w:r>
        <w:t xml:space="preserve">The commercial landscape in Almaty, Kazakhstan, is undergoing a rapid transformation driven by digital adoption and evolving consumer behaviors. As the economic hub of the nation, Almaty presents a unique market environment where traditional relationship-based selling intersects with modern digital-first strategies. This Experiment Protocol outlines a structured study designed to evaluate the efficacy of different sales methodologies employed by Sales Executives within this specific geographic and cultural context.</w:t>
      </w:r>
    </w:p>
    <w:p>
      <w:pPr>
        <w:pStyle w:val="BodyText"/>
      </w:pPr>
      <w:r>
        <w:t xml:space="preserve">The primary objective is to determine whether a hybrid approach—combining face-to-face networking prevalent in Kazakh business culture with advanced CRM-driven digital outreach—yields superior conversion rates compared to traditional methods alone. This protocol ensures that all data collected regarding Sales Executive performance is accurate, ethical, and statistically significant.</w:t>
      </w:r>
    </w:p>
    <w:bookmarkEnd w:id="20"/>
    <w:bookmarkStart w:id="21" w:name="objectives"/>
    <w:p>
      <w:pPr>
        <w:pStyle w:val="Heading2"/>
      </w:pPr>
      <w:r>
        <w:t xml:space="preserve">2. Objectives</w:t>
      </w:r>
    </w:p>
    <w:p>
      <w:pPr>
        <w:pStyle w:val="FirstParagraph"/>
      </w:pPr>
      <w:r>
        <w:t xml:space="preserve">The specific goals of this experiment are as follows:</w:t>
      </w:r>
    </w:p>
    <w:p>
      <w:pPr>
        <w:numPr>
          <w:ilvl w:val="0"/>
          <w:numId w:val="1001"/>
        </w:numPr>
        <w:pStyle w:val="Compact"/>
      </w:pPr>
      <w:r>
        <w:t xml:space="preserve">To measure the impact of digital communication tools (WhatsApp Business, LinkedIn, Email) on the lead conversion rates of Sales Executives in Almaty.</w:t>
      </w:r>
    </w:p>
    <w:p>
      <w:pPr>
        <w:numPr>
          <w:ilvl w:val="0"/>
          <w:numId w:val="1001"/>
        </w:numPr>
        <w:pStyle w:val="Compact"/>
      </w:pPr>
      <w:r>
        <w:t xml:space="preserve">To assess the correlation between local cultural nuances (such as the importance of personal trust and "tanymdyq") and sales success metrics.</w:t>
      </w:r>
    </w:p>
    <w:p>
      <w:pPr>
        <w:numPr>
          <w:ilvl w:val="0"/>
          <w:numId w:val="1001"/>
        </w:numPr>
        <w:pStyle w:val="Compact"/>
      </w:pPr>
      <w:r>
        <w:t xml:space="preserve">To identify the optimal frequency of client contact for Sales Executives operating in the Almaty B2B and B2C sectors.</w:t>
      </w:r>
    </w:p>
    <w:p>
      <w:pPr>
        <w:numPr>
          <w:ilvl w:val="0"/>
          <w:numId w:val="1001"/>
        </w:numPr>
        <w:pStyle w:val="Compact"/>
      </w:pPr>
      <w:r>
        <w:t xml:space="preserve">To provide actionable data for training programs tailored to the Kazakhstani market.</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study will utilize a randomized controlled trial (RCT) design. Participants will be Sales Executives currently employed by partner organizations in Almaty. The experiment will run for a period of 12 weeks to account for seasonal variations in the local market.</w:t>
      </w:r>
    </w:p>
    <w:bookmarkEnd w:id="22"/>
    <w:bookmarkStart w:id="23" w:name="participant-selection"/>
    <w:p>
      <w:pPr>
        <w:pStyle w:val="Heading3"/>
      </w:pPr>
      <w:r>
        <w:t xml:space="preserve">3.2 Participant Selection</w:t>
      </w:r>
    </w:p>
    <w:p>
      <w:pPr>
        <w:pStyle w:val="FirstParagraph"/>
      </w:pPr>
      <w:r>
        <w:t xml:space="preserve">Participants must meet the following criteria to ensure the validity of the data regarding the Sales Executive role:</w:t>
      </w:r>
    </w:p>
    <w:p>
      <w:pPr>
        <w:numPr>
          <w:ilvl w:val="0"/>
          <w:numId w:val="1002"/>
        </w:numPr>
        <w:pStyle w:val="Compact"/>
      </w:pPr>
      <w:r>
        <w:t xml:space="preserve">Minimum of 12 months of experience as a Sales Executive in Kazakhstan.</w:t>
      </w:r>
    </w:p>
    <w:p>
      <w:pPr>
        <w:numPr>
          <w:ilvl w:val="0"/>
          <w:numId w:val="1002"/>
        </w:numPr>
        <w:pStyle w:val="Compact"/>
      </w:pPr>
      <w:r>
        <w:t xml:space="preserve">Fluency in Russian and Kazakh, with working proficiency in English.</w:t>
      </w:r>
    </w:p>
    <w:p>
      <w:pPr>
        <w:numPr>
          <w:ilvl w:val="0"/>
          <w:numId w:val="1002"/>
        </w:numPr>
        <w:pStyle w:val="Compact"/>
      </w:pPr>
      <w:r>
        <w:t xml:space="preserve">Currently based in Almaty and actively managing a client portfolio within the city limits.</w:t>
      </w:r>
    </w:p>
    <w:p>
      <w:pPr>
        <w:numPr>
          <w:ilvl w:val="0"/>
          <w:numId w:val="1002"/>
        </w:numPr>
        <w:pStyle w:val="Compact"/>
      </w:pPr>
      <w:r>
        <w:t xml:space="preserve">Willingness to adhere to the assigned sales protocol for the duration of the experiment.</w:t>
      </w:r>
    </w:p>
    <w:bookmarkEnd w:id="23"/>
    <w:bookmarkStart w:id="24" w:name="group-allocation"/>
    <w:p>
      <w:pPr>
        <w:pStyle w:val="Heading3"/>
      </w:pPr>
      <w:r>
        <w:t xml:space="preserve">3.3 Group Allocation</w:t>
      </w:r>
    </w:p>
    <w:p>
      <w:pPr>
        <w:pStyle w:val="FirstParagraph"/>
      </w:pPr>
      <w:r>
        <w:t xml:space="preserve">Participants will be randomly assigned to one of two groups: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Group</w:t>
            </w:r>
          </w:p>
        </w:tc>
        <w:tc>
          <w:tcPr/>
          <w:p>
            <w:pPr>
              <w:pStyle w:val="Compact"/>
              <w:jc w:val="left"/>
            </w:pPr>
            <w:r>
              <w:t xml:space="preserve">Methodology</w:t>
            </w:r>
          </w:p>
        </w:tc>
        <w:tc>
          <w:tcPr/>
          <w:p>
            <w:pPr>
              <w:pStyle w:val="Compact"/>
              <w:jc w:val="left"/>
            </w:pPr>
            <w:r>
              <w:t xml:space="preserve">Description</w:t>
            </w:r>
          </w:p>
        </w:tc>
      </w:tr>
      <w:tr>
        <w:tc>
          <w:tcPr/>
          <w:p>
            <w:pPr>
              <w:pStyle w:val="Compact"/>
              <w:jc w:val="left"/>
            </w:pPr>
            <w:r>
              <w:t xml:space="preserve">Control Group (A)</w:t>
            </w:r>
          </w:p>
        </w:tc>
        <w:tc>
          <w:tcPr/>
          <w:p>
            <w:pPr>
              <w:pStyle w:val="Compact"/>
              <w:jc w:val="left"/>
            </w:pPr>
            <w:r>
              <w:t xml:space="preserve">Traditional Hybrid</w:t>
            </w:r>
          </w:p>
        </w:tc>
        <w:tc>
          <w:tcPr/>
          <w:p>
            <w:pPr>
              <w:pStyle w:val="Compact"/>
              <w:jc w:val="left"/>
            </w:pPr>
            <w:r>
              <w:t xml:space="preserve">Sales Executives utilize standard cold calling, email, and scheduled in-person meetings without structured digital automation.</w:t>
            </w:r>
          </w:p>
        </w:tc>
      </w:tr>
      <w:tr>
        <w:tc>
          <w:tcPr/>
          <w:p>
            <w:pPr>
              <w:pStyle w:val="Compact"/>
              <w:jc w:val="left"/>
            </w:pPr>
            <w:r>
              <w:t xml:space="preserve">Experimental Group (B)</w:t>
            </w:r>
          </w:p>
        </w:tc>
        <w:tc>
          <w:tcPr/>
          <w:p>
            <w:pPr>
              <w:pStyle w:val="Compact"/>
              <w:jc w:val="left"/>
            </w:pPr>
            <w:r>
              <w:t xml:space="preserve">Optimized Digital-First</w:t>
            </w:r>
          </w:p>
        </w:tc>
        <w:tc>
          <w:tcPr/>
          <w:p>
            <w:pPr>
              <w:pStyle w:val="Compact"/>
              <w:jc w:val="left"/>
            </w:pPr>
            <w:r>
              <w:t xml:space="preserve">Sales Executives utilize AI-assisted CRM tools, targeted social selling on local platforms, and data-driven follow-up sequences.</w:t>
            </w:r>
          </w:p>
        </w:tc>
      </w:tr>
    </w:tbl>
    <w:bookmarkEnd w:id="24"/>
    <w:bookmarkEnd w:id="25"/>
    <w:bookmarkStart w:id="29" w:name="procedures"/>
    <w:p>
      <w:pPr>
        <w:pStyle w:val="Heading2"/>
      </w:pPr>
      <w:r>
        <w:t xml:space="preserve">4. Procedures</w:t>
      </w:r>
    </w:p>
    <w:bookmarkStart w:id="26" w:name="pre-experiment-phase"/>
    <w:p>
      <w:pPr>
        <w:pStyle w:val="Heading3"/>
      </w:pPr>
      <w:r>
        <w:t xml:space="preserve">4.1 Pre-Experiment Phase</w:t>
      </w:r>
    </w:p>
    <w:p>
      <w:pPr>
        <w:pStyle w:val="FirstParagraph"/>
      </w:pPr>
      <w:r>
        <w:t xml:space="preserve">Before the commencement of the trial, all Sales Executives will undergo a baseline assessment. This includes a review of their historical sales data in Almaty over the previous quarter. Training sessions will be conducted for Group B to ensure proficiency with the new digital tools. Informed consent will be obtained from all participants, emphasizing their right to withdraw.</w:t>
      </w:r>
    </w:p>
    <w:bookmarkEnd w:id="26"/>
    <w:bookmarkStart w:id="27" w:name="execution-phase"/>
    <w:p>
      <w:pPr>
        <w:pStyle w:val="Heading3"/>
      </w:pPr>
      <w:r>
        <w:t xml:space="preserve">4.2 Execution Phase</w:t>
      </w:r>
    </w:p>
    <w:p>
      <w:pPr>
        <w:pStyle w:val="FirstParagraph"/>
      </w:pPr>
      <w:r>
        <w:t xml:space="preserve">During the 12-week period, Sales Executives will log all interactions in a centralized system. The protocol mandates that Group B must initiate at least 60% of new client contacts via digital channels before transitioning to voice or face-to-face meetings. Group A will follow their standard operating procedures. Weekly check-ins will be held to monitor compliance and address any technical issues.</w:t>
      </w:r>
    </w:p>
    <w:bookmarkEnd w:id="27"/>
    <w:bookmarkStart w:id="28" w:name="data-collection"/>
    <w:p>
      <w:pPr>
        <w:pStyle w:val="Heading3"/>
      </w:pPr>
      <w:r>
        <w:t xml:space="preserve">4.3 Data Collection</w:t>
      </w:r>
    </w:p>
    <w:p>
      <w:pPr>
        <w:pStyle w:val="FirstParagraph"/>
      </w:pPr>
      <w:r>
        <w:t xml:space="preserve">Key Performance Indicators (KPIs) will be tracked daily. These include:</w:t>
      </w:r>
    </w:p>
    <w:p>
      <w:pPr>
        <w:numPr>
          <w:ilvl w:val="0"/>
          <w:numId w:val="1003"/>
        </w:numPr>
        <w:pStyle w:val="Compact"/>
      </w:pPr>
      <w:r>
        <w:t xml:space="preserve">Number of qualified leads generated.</w:t>
      </w:r>
    </w:p>
    <w:p>
      <w:pPr>
        <w:numPr>
          <w:ilvl w:val="0"/>
          <w:numId w:val="1003"/>
        </w:numPr>
        <w:pStyle w:val="Compact"/>
      </w:pPr>
      <w:r>
        <w:t xml:space="preserve">Conversion rate from lead to closed deal.</w:t>
      </w:r>
    </w:p>
    <w:p>
      <w:pPr>
        <w:numPr>
          <w:ilvl w:val="0"/>
          <w:numId w:val="1003"/>
        </w:numPr>
        <w:pStyle w:val="Compact"/>
      </w:pPr>
      <w:r>
        <w:t xml:space="preserve">Average deal size in Kazakhstani Tenge (KZT).</w:t>
      </w:r>
    </w:p>
    <w:p>
      <w:pPr>
        <w:numPr>
          <w:ilvl w:val="0"/>
          <w:numId w:val="1003"/>
        </w:numPr>
        <w:pStyle w:val="Compact"/>
      </w:pPr>
      <w:r>
        <w:t xml:space="preserve">Time spent per client interaction.</w:t>
      </w:r>
    </w:p>
    <w:p>
      <w:pPr>
        <w:numPr>
          <w:ilvl w:val="0"/>
          <w:numId w:val="1003"/>
        </w:numPr>
        <w:pStyle w:val="Compact"/>
      </w:pPr>
      <w:r>
        <w:t xml:space="preserve">Client satisfaction scores (CSAT) post-interaction.</w:t>
      </w:r>
    </w:p>
    <w:bookmarkEnd w:id="28"/>
    <w:bookmarkEnd w:id="29"/>
    <w:bookmarkStart w:id="30" w:name="ethical-considerations"/>
    <w:p>
      <w:pPr>
        <w:pStyle w:val="Heading2"/>
      </w:pPr>
      <w:r>
        <w:t xml:space="preserve">5. Ethical Considerations</w:t>
      </w:r>
    </w:p>
    <w:p>
      <w:pPr>
        <w:pStyle w:val="FirstParagraph"/>
      </w:pPr>
      <w:r>
        <w:t xml:space="preserve">This experiment adheres to international ethical standards for business research. All client data collected by the Sales Executives will be anonymized to protect privacy in accordance with the Law of the Republic of Kazakhstan on Personal Data and its Protection. Participants will not be penalized for lower performance during the trial period, ensuring that the experiment does not negatively impact their employment status.</w:t>
      </w:r>
    </w:p>
    <w:bookmarkEnd w:id="30"/>
    <w:bookmarkStart w:id="31" w:name="data-analysis"/>
    <w:p>
      <w:pPr>
        <w:pStyle w:val="Heading2"/>
      </w:pPr>
      <w:r>
        <w:t xml:space="preserve">6. Data Analysis</w:t>
      </w:r>
    </w:p>
    <w:p>
      <w:pPr>
        <w:pStyle w:val="FirstParagraph"/>
      </w:pPr>
      <w:r>
        <w:t xml:space="preserve">Upon completion of the 12-week period, data will be aggregated and analyzed using statistical software. We will employ t-tests to compare the mean conversion rates between Group A and Group B. Qualitative feedback from the Sales Executives regarding the usability of the methodologies in the Almaty market will also be coded and analyzed to provide context to the quantitative results.</w:t>
      </w:r>
    </w:p>
    <w:bookmarkEnd w:id="31"/>
    <w:bookmarkStart w:id="32" w:name="expected-outcomes-and-reporting"/>
    <w:p>
      <w:pPr>
        <w:pStyle w:val="Heading2"/>
      </w:pPr>
      <w:r>
        <w:t xml:space="preserve">7. Expected Outcomes and Reporting</w:t>
      </w:r>
    </w:p>
    <w:p>
      <w:pPr>
        <w:pStyle w:val="FirstParagraph"/>
      </w:pPr>
      <w:r>
        <w:t xml:space="preserve">We anticipate that the Experimental Group (B) will demonstrate a statistically significant increase in efficiency and conversion rates, particularly in the B2B sector of Almaty. The final report will detail these findings and offer a revised "Best Practice" framework for Sales Executives operating in Kazakhstan. This document will serve as a reference for future sales training and strategic planning within the region.</w:t>
      </w:r>
    </w:p>
    <w:bookmarkEnd w:id="32"/>
    <w:bookmarkStart w:id="33" w:name="approval-and-signatures"/>
    <w:p>
      <w:pPr>
        <w:pStyle w:val="Heading2"/>
      </w:pPr>
      <w:r>
        <w:t xml:space="preserve">8. Approval and Signatures</w:t>
      </w:r>
    </w:p>
    <w:p>
      <w:pPr>
        <w:pStyle w:val="FirstParagraph"/>
      </w:pPr>
      <w:r>
        <w:t xml:space="preserve">This Experiment Protocol has been reviewed and approved by the Research Oversight Committee.</w:t>
      </w:r>
    </w:p>
    <w:p>
      <w:pPr>
        <w:pStyle w:val="BodyText"/>
      </w:pPr>
      <w:r>
        <w:rPr>
          <w:bCs/>
          <w:b/>
        </w:rPr>
        <w:t xml:space="preserve">Lead Researcher:</w:t>
      </w:r>
      <w:r>
        <w:t xml:space="preserve"> </w:t>
      </w:r>
      <w:r>
        <w:t xml:space="preserve">__________________________</w:t>
      </w:r>
      <w:r>
        <w:br/>
      </w:r>
      <w:r>
        <w:rPr>
          <w:bCs/>
          <w:b/>
        </w:rPr>
        <w:t xml:space="preserve">Date:</w:t>
      </w:r>
      <w:r>
        <w:t xml:space="preserve"> </w:t>
      </w:r>
      <w:r>
        <w:t xml:space="preserve">__________________________</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Sales Executive Performance Optimization in Almaty, Kazakhstan</dc:title>
  <dc:creator/>
  <dc:language>en</dc:language>
  <cp:keywords/>
  <dcterms:created xsi:type="dcterms:W3CDTF">2026-10-10T05:48:30Z</dcterms:created>
  <dcterms:modified xsi:type="dcterms:W3CDTF">2026-10-10T05:48:30Z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