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c74bba997f8c1fd8d5870dcb967d69f88589731"/>
    <w:p>
      <w:pPr>
        <w:pStyle w:val="Heading1"/>
      </w:pPr>
      <w:r>
        <w:t xml:space="preserve">Experiment Protocol: Sales Executive Performance Optimization in Malaysia Kuala Lumpur</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efficacy of a new consultative selling framework designed specifically for Sales Executives operating within the dynamic business environment of Malaysia Kuala Lumpur. The commercial landscape in Kuala Lumpur is characterized by a high density of multinational corporations, a rapidly growing SME sector, and a culturally diverse consumer base. Consequently, traditional transactional sales methods are increasingly yielding diminishing returns.</w:t>
      </w:r>
    </w:p>
    <w:p>
      <w:pPr>
        <w:pStyle w:val="BodyText"/>
      </w:pPr>
      <w:r>
        <w:t xml:space="preserve">The primary objective of this experiment is to determine whether the implementation of a localized, relationship-centric sales methodology significantly improves conversion rates, average deal size, and customer retention metrics for Sales Executives compared to the current standard operating procedure. This protocol ensures that the data collected is robust, unbiased, and directly applicable to the specific market conditions of Kuala Lumpur.</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impact of the new consultative framework on the monthly revenue generated by Sales Executives in the Kuala Lumpur region.</w:t>
      </w:r>
    </w:p>
    <w:p>
      <w:pPr>
        <w:numPr>
          <w:ilvl w:val="0"/>
          <w:numId w:val="1001"/>
        </w:numPr>
        <w:pStyle w:val="Compact"/>
      </w:pPr>
      <w:r>
        <w:t xml:space="preserve">To assess the correlation between cultural adaptability training and client satisfaction scores among B2B clients in Malaysia.</w:t>
      </w:r>
    </w:p>
    <w:p>
      <w:pPr>
        <w:numPr>
          <w:ilvl w:val="0"/>
          <w:numId w:val="1001"/>
        </w:numPr>
        <w:pStyle w:val="Compact"/>
      </w:pPr>
      <w:r>
        <w:t xml:space="preserve">To identify specific pain points in the current sales cycle that are unique to the Kuala Lumpur market and determine if the new protocol mitigates these issues.</w:t>
      </w:r>
    </w:p>
    <w:p>
      <w:pPr>
        <w:numPr>
          <w:ilvl w:val="0"/>
          <w:numId w:val="1001"/>
        </w:numPr>
        <w:pStyle w:val="Compact"/>
      </w:pPr>
      <w:r>
        <w:t xml:space="preserve">To evaluate the adoption rate and usability of the new sales tools provided to the Sales Executive team.</w:t>
      </w:r>
    </w:p>
    <w:bookmarkEnd w:id="21"/>
    <w:bookmarkStart w:id="22" w:name="hypothesis"/>
    <w:p>
      <w:pPr>
        <w:pStyle w:val="Heading2"/>
      </w:pPr>
      <w:r>
        <w:t xml:space="preserve">3. Hypothesis</w:t>
      </w:r>
    </w:p>
    <w:p>
      <w:pPr>
        <w:pStyle w:val="FirstParagraph"/>
      </w:pPr>
      <w:r>
        <w:rPr>
          <w:bCs/>
          <w:b/>
        </w:rPr>
        <w:t xml:space="preserve">Null Hypothesis (H0):</w:t>
      </w:r>
      <w:r>
        <w:t xml:space="preserve"> </w:t>
      </w:r>
      <w:r>
        <w:t xml:space="preserve">There is no statistically significant difference in the performance metrics of Sales Executives using the new consultative framework compared to those using the traditional transactional approach in the Malaysia Kuala Lumpur market.</w:t>
      </w:r>
    </w:p>
    <w:p>
      <w:pPr>
        <w:pStyle w:val="BodyText"/>
      </w:pPr>
      <w:r>
        <w:rPr>
          <w:bCs/>
          <w:b/>
        </w:rPr>
        <w:t xml:space="preserve">Alternative Hypothesis (H1):</w:t>
      </w:r>
      <w:r>
        <w:t xml:space="preserve"> </w:t>
      </w:r>
      <w:r>
        <w:t xml:space="preserve">Sales Executives utilizing the new consultative framework will demonstrate a statistically significant increase in conversion rates and average deal size compared to the control group, driven by enhanced relationship building and localized market understanding.</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The population consists of all active Sales Executives currently employed in the Kuala Lumpur branch. Participants will be randomly assigned to either the Treatment Group or the Control Group to ensure that external variables, such as individual sales aptitude or existing client portfolios, are evenly distributed.</w:t>
      </w:r>
    </w:p>
    <w:bookmarkEnd w:id="23"/>
    <w:bookmarkStart w:id="24" w:name="participant-selection-and-grouping"/>
    <w:p>
      <w:pPr>
        <w:pStyle w:val="Heading3"/>
      </w:pPr>
      <w:r>
        <w:t xml:space="preserve">4.2 Participant Selection and Grouping</w:t>
      </w:r>
    </w:p>
    <w:p>
      <w:pPr>
        <w:pStyle w:val="FirstParagraph"/>
      </w:pPr>
      <w:r>
        <w:rPr>
          <w:bCs/>
          <w:b/>
        </w:rPr>
        <w:t xml:space="preserve">Inclusion Criteria:</w:t>
      </w:r>
    </w:p>
    <w:p>
      <w:pPr>
        <w:numPr>
          <w:ilvl w:val="0"/>
          <w:numId w:val="1002"/>
        </w:numPr>
        <w:pStyle w:val="Compact"/>
      </w:pPr>
      <w:r>
        <w:t xml:space="preserve">Must be a full-time Sales Executive based in Kuala Lumpur.</w:t>
      </w:r>
    </w:p>
    <w:p>
      <w:pPr>
        <w:numPr>
          <w:ilvl w:val="0"/>
          <w:numId w:val="1002"/>
        </w:numPr>
        <w:pStyle w:val="Compact"/>
      </w:pPr>
      <w:r>
        <w:t xml:space="preserve">Must have been employed for a minimum of six months to ensure familiarity with the local market.</w:t>
      </w:r>
    </w:p>
    <w:p>
      <w:pPr>
        <w:numPr>
          <w:ilvl w:val="0"/>
          <w:numId w:val="1002"/>
        </w:numPr>
        <w:pStyle w:val="Compact"/>
      </w:pPr>
      <w:r>
        <w:t xml:space="preserve">Must have a minimum of 20 active leads in their pipeline at the start of the experiment.</w:t>
      </w:r>
    </w:p>
    <w:p>
      <w:pPr>
        <w:pStyle w:val="FirstParagraph"/>
      </w:pPr>
      <w:r>
        <w:rPr>
          <w:bCs/>
          <w:b/>
        </w:rPr>
        <w:t xml:space="preserve">Exclusion Criteria:</w:t>
      </w:r>
    </w:p>
    <w:p>
      <w:pPr>
        <w:numPr>
          <w:ilvl w:val="0"/>
          <w:numId w:val="1003"/>
        </w:numPr>
        <w:pStyle w:val="Compact"/>
      </w:pPr>
      <w:r>
        <w:t xml:space="preserve">Sales Executives on leave or with reduced hours during the experiment period.</w:t>
      </w:r>
    </w:p>
    <w:p>
      <w:pPr>
        <w:numPr>
          <w:ilvl w:val="0"/>
          <w:numId w:val="1003"/>
        </w:numPr>
        <w:pStyle w:val="Compact"/>
      </w:pPr>
      <w:r>
        <w:t xml:space="preserve">Executives managing key accounts that are under exclusive long-term contracts unaffected by sales tactics.</w:t>
      </w:r>
    </w:p>
    <w:p>
      <w:pPr>
        <w:pStyle w:val="FirstParagraph"/>
      </w:pPr>
      <w:r>
        <w:t xml:space="preserve">The selected participants will be divided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Description</w:t>
            </w:r>
          </w:p>
        </w:tc>
        <w:tc>
          <w:tcPr/>
          <w:p>
            <w:pPr>
              <w:pStyle w:val="Compact"/>
              <w:jc w:val="left"/>
            </w:pPr>
            <w:r>
              <w:t xml:space="preserve">Intervention</w:t>
            </w:r>
          </w:p>
        </w:tc>
      </w:tr>
      <w:tr>
        <w:tc>
          <w:tcPr/>
          <w:p>
            <w:pPr>
              <w:pStyle w:val="Compact"/>
              <w:jc w:val="left"/>
            </w:pPr>
            <w:r>
              <w:t xml:space="preserve">Treatment Group</w:t>
            </w:r>
          </w:p>
        </w:tc>
        <w:tc>
          <w:tcPr/>
          <w:p>
            <w:pPr>
              <w:pStyle w:val="Compact"/>
              <w:jc w:val="left"/>
            </w:pPr>
            <w:r>
              <w:t xml:space="preserve">50% of eligible Sales Executives</w:t>
            </w:r>
          </w:p>
        </w:tc>
        <w:tc>
          <w:tcPr/>
          <w:p>
            <w:pPr>
              <w:pStyle w:val="Compact"/>
              <w:jc w:val="left"/>
            </w:pPr>
            <w:r>
              <w:t xml:space="preserve">Trained on and required to use the new consultative framework, including localized cultural communication modules specific to Malaysia.</w:t>
            </w:r>
          </w:p>
        </w:tc>
      </w:tr>
      <w:tr>
        <w:tc>
          <w:tcPr/>
          <w:p>
            <w:pPr>
              <w:pStyle w:val="Compact"/>
              <w:jc w:val="left"/>
            </w:pPr>
            <w:r>
              <w:t xml:space="preserve">Control Group</w:t>
            </w:r>
          </w:p>
        </w:tc>
        <w:tc>
          <w:tcPr/>
          <w:p>
            <w:pPr>
              <w:pStyle w:val="Compact"/>
              <w:jc w:val="left"/>
            </w:pPr>
            <w:r>
              <w:t xml:space="preserve">50% of eligible Sales Executives</w:t>
            </w:r>
          </w:p>
        </w:tc>
        <w:tc>
          <w:tcPr/>
          <w:p>
            <w:pPr>
              <w:pStyle w:val="Compact"/>
              <w:jc w:val="left"/>
            </w:pPr>
            <w:r>
              <w:t xml:space="preserve">Continues to use the existing standard sales playbook and tools without additional intervention.</w:t>
            </w:r>
          </w:p>
        </w:tc>
      </w:tr>
    </w:tbl>
    <w:bookmarkEnd w:id="24"/>
    <w:bookmarkStart w:id="25" w:name="intervention-details"/>
    <w:p>
      <w:pPr>
        <w:pStyle w:val="Heading3"/>
      </w:pPr>
      <w:r>
        <w:t xml:space="preserve">4.3 Intervention Details</w:t>
      </w:r>
    </w:p>
    <w:p>
      <w:pPr>
        <w:pStyle w:val="FirstParagraph"/>
      </w:pPr>
      <w:r>
        <w:t xml:space="preserve">The Treatment Group will undergo a comprehensive training program focusing on the nuances of business etiquette in Malaysia Kuala Lumpur. This includes understanding the importance of "face" in negotiations, the role of hierarchy in decision-making, and the integration of digital communication tools popular in the region, such as WhatsApp Business, into the professional sales workflow. The Sales Executives in this group will be provided with a revised CRM workflow that emphasizes long-term client nurturing over immediate closing.</w:t>
      </w:r>
    </w:p>
    <w:bookmarkEnd w:id="25"/>
    <w:bookmarkEnd w:id="26"/>
    <w:bookmarkStart w:id="27" w:name="data-collection-and-metrics"/>
    <w:p>
      <w:pPr>
        <w:pStyle w:val="Heading2"/>
      </w:pPr>
      <w:r>
        <w:t xml:space="preserve">5. Data Collection and Metrics</w:t>
      </w:r>
    </w:p>
    <w:p>
      <w:pPr>
        <w:pStyle w:val="FirstParagraph"/>
      </w:pPr>
      <w:r>
        <w:t xml:space="preserve">Data will be collected over a period of 12 weeks. The following Key Performance Indicators (KPIs) will be tracked for both groups:</w:t>
      </w:r>
    </w:p>
    <w:p>
      <w:pPr>
        <w:numPr>
          <w:ilvl w:val="0"/>
          <w:numId w:val="1004"/>
        </w:numPr>
        <w:pStyle w:val="Compact"/>
      </w:pPr>
      <w:r>
        <w:rPr>
          <w:bCs/>
          <w:b/>
        </w:rPr>
        <w:t xml:space="preserve">Conversion Rate:</w:t>
      </w:r>
      <w:r>
        <w:t xml:space="preserve"> </w:t>
      </w:r>
      <w:r>
        <w:t xml:space="preserve">The percentage of qualified leads converted into closed deals.</w:t>
      </w:r>
    </w:p>
    <w:p>
      <w:pPr>
        <w:numPr>
          <w:ilvl w:val="0"/>
          <w:numId w:val="1004"/>
        </w:numPr>
        <w:pStyle w:val="Compact"/>
      </w:pPr>
      <w:r>
        <w:rPr>
          <w:bCs/>
          <w:b/>
        </w:rPr>
        <w:t xml:space="preserve">Average Deal Size:</w:t>
      </w:r>
      <w:r>
        <w:t xml:space="preserve"> </w:t>
      </w:r>
      <w:r>
        <w:t xml:space="preserve">The mean monetary value of closed contracts.</w:t>
      </w:r>
    </w:p>
    <w:p>
      <w:pPr>
        <w:numPr>
          <w:ilvl w:val="0"/>
          <w:numId w:val="1004"/>
        </w:numPr>
        <w:pStyle w:val="Compact"/>
      </w:pPr>
      <w:r>
        <w:rPr>
          <w:bCs/>
          <w:b/>
        </w:rPr>
        <w:t xml:space="preserve">Sales Cycle Length:</w:t>
      </w:r>
      <w:r>
        <w:t xml:space="preserve"> </w:t>
      </w:r>
      <w:r>
        <w:t xml:space="preserve">The average time taken from initial contact to contract signing.</w:t>
      </w:r>
    </w:p>
    <w:p>
      <w:pPr>
        <w:numPr>
          <w:ilvl w:val="0"/>
          <w:numId w:val="1004"/>
        </w:numPr>
        <w:pStyle w:val="Compact"/>
      </w:pPr>
      <w:r>
        <w:rPr>
          <w:bCs/>
          <w:b/>
        </w:rPr>
        <w:t xml:space="preserve">Client Satisfaction Score (CSAT):</w:t>
      </w:r>
      <w:r>
        <w:t xml:space="preserve"> </w:t>
      </w:r>
      <w:r>
        <w:t xml:space="preserve">Post-interaction surveys sent to clients in Kuala Lumpur to gauge their perception of the Sales Executive's professionalism and cultural sensitivity.</w:t>
      </w:r>
    </w:p>
    <w:p>
      <w:pPr>
        <w:numPr>
          <w:ilvl w:val="0"/>
          <w:numId w:val="1004"/>
        </w:numPr>
        <w:pStyle w:val="Compact"/>
      </w:pPr>
      <w:r>
        <w:rPr>
          <w:bCs/>
          <w:b/>
        </w:rPr>
        <w:t xml:space="preserve">Activity Metrics:</w:t>
      </w:r>
      <w:r>
        <w:t xml:space="preserve"> </w:t>
      </w:r>
      <w:r>
        <w:t xml:space="preserve">Number of meetings held, calls made, and follow-ups completed.</w:t>
      </w:r>
    </w:p>
    <w:p>
      <w:pPr>
        <w:pStyle w:val="FirstParagraph"/>
      </w:pPr>
      <w:r>
        <w:t xml:space="preserve">Data will be extracted directly from the company's CRM system to ensure accuracy and minimize manual entry errors.</w:t>
      </w:r>
    </w:p>
    <w:bookmarkEnd w:id="27"/>
    <w:bookmarkStart w:id="28" w:name="ethical-considerations"/>
    <w:p>
      <w:pPr>
        <w:pStyle w:val="Heading2"/>
      </w:pPr>
      <w:r>
        <w:t xml:space="preserve">6. Ethical Considerations</w:t>
      </w:r>
    </w:p>
    <w:p>
      <w:pPr>
        <w:pStyle w:val="FirstParagraph"/>
      </w:pPr>
      <w:r>
        <w:t xml:space="preserve">All participants will provide informed consent prior to the commencement of the experiment. They will be fully briefed on the objectives and their role. Confidentiality of both the Sales Executives' performance data and client information will be strictly maintained in accordance with the Personal Data Protection Act (PDPA) of Malaysia. Participants will be informed that their participation is voluntary and will not negatively impact their employment status, regardless of the outcome.</w:t>
      </w:r>
    </w:p>
    <w:bookmarkEnd w:id="28"/>
    <w:bookmarkStart w:id="29" w:name="data-analysis-plan"/>
    <w:p>
      <w:pPr>
        <w:pStyle w:val="Heading2"/>
      </w:pPr>
      <w:r>
        <w:t xml:space="preserve">7. Data Analysis Plan</w:t>
      </w:r>
    </w:p>
    <w:p>
      <w:pPr>
        <w:pStyle w:val="FirstParagraph"/>
      </w:pPr>
      <w:r>
        <w:t xml:space="preserve">Upon completion of the 12-week period, statistical analysis will be performed using appropriate software (e.g., SPSS or R). An independent samples t-test will be used to compare the mean performance metrics between the Treatment and Control groups. A p-value of less than 0.05 will be considered statistically significant. Qualitative feedback from the Sales Executives regarding the usability of the new framework will also be analyzed to provide context to the quantitative data.</w:t>
      </w:r>
    </w:p>
    <w:bookmarkEnd w:id="29"/>
    <w:bookmarkStart w:id="30" w:name="timeline"/>
    <w:p>
      <w:pPr>
        <w:pStyle w:val="Heading2"/>
      </w:pPr>
      <w:r>
        <w:t xml:space="preserve">8. Timeline</w:t>
      </w:r>
    </w:p>
    <w:p>
      <w:pPr>
        <w:numPr>
          <w:ilvl w:val="0"/>
          <w:numId w:val="1005"/>
        </w:numPr>
        <w:pStyle w:val="Compact"/>
      </w:pPr>
      <w:r>
        <w:rPr>
          <w:bCs/>
          <w:b/>
        </w:rPr>
        <w:t xml:space="preserve">Week 1:</w:t>
      </w:r>
      <w:r>
        <w:t xml:space="preserve"> </w:t>
      </w:r>
      <w:r>
        <w:t xml:space="preserve">Recruitment, consent, and randomization.</w:t>
      </w:r>
    </w:p>
    <w:p>
      <w:pPr>
        <w:numPr>
          <w:ilvl w:val="0"/>
          <w:numId w:val="1005"/>
        </w:numPr>
        <w:pStyle w:val="Compact"/>
      </w:pPr>
      <w:r>
        <w:rPr>
          <w:bCs/>
          <w:b/>
        </w:rPr>
        <w:t xml:space="preserve">Week 2:</w:t>
      </w:r>
      <w:r>
        <w:t xml:space="preserve"> </w:t>
      </w:r>
      <w:r>
        <w:t xml:space="preserve">Training for the Treatment Group.</w:t>
      </w:r>
    </w:p>
    <w:p>
      <w:pPr>
        <w:numPr>
          <w:ilvl w:val="0"/>
          <w:numId w:val="1005"/>
        </w:numPr>
        <w:pStyle w:val="Compact"/>
      </w:pPr>
      <w:r>
        <w:rPr>
          <w:bCs/>
          <w:b/>
        </w:rPr>
        <w:t xml:space="preserve">Weeks 3-14:</w:t>
      </w:r>
      <w:r>
        <w:t xml:space="preserve"> </w:t>
      </w:r>
      <w:r>
        <w:t xml:space="preserve">Experiment execution and data collection.</w:t>
      </w:r>
    </w:p>
    <w:p>
      <w:pPr>
        <w:numPr>
          <w:ilvl w:val="0"/>
          <w:numId w:val="1005"/>
        </w:numPr>
        <w:pStyle w:val="Compact"/>
      </w:pPr>
      <w:r>
        <w:rPr>
          <w:bCs/>
          <w:b/>
        </w:rPr>
        <w:t xml:space="preserve">Week 15:</w:t>
      </w:r>
      <w:r>
        <w:t xml:space="preserve"> </w:t>
      </w:r>
      <w:r>
        <w:t xml:space="preserve">Data cleaning and analysis.</w:t>
      </w:r>
    </w:p>
    <w:p>
      <w:pPr>
        <w:numPr>
          <w:ilvl w:val="0"/>
          <w:numId w:val="1005"/>
        </w:numPr>
        <w:pStyle w:val="Compact"/>
      </w:pPr>
      <w:r>
        <w:rPr>
          <w:bCs/>
          <w:b/>
        </w:rPr>
        <w:t xml:space="preserve">Week 16:</w:t>
      </w:r>
      <w:r>
        <w:t xml:space="preserve"> </w:t>
      </w:r>
      <w:r>
        <w:t xml:space="preserve">Reporting and recommendations.</w:t>
      </w:r>
    </w:p>
    <w:bookmarkEnd w:id="30"/>
    <w:bookmarkStart w:id="31" w:name="conclusion"/>
    <w:p>
      <w:pPr>
        <w:pStyle w:val="Heading2"/>
      </w:pPr>
      <w:r>
        <w:t xml:space="preserve">9. Conclusion</w:t>
      </w:r>
    </w:p>
    <w:p>
      <w:pPr>
        <w:pStyle w:val="FirstParagraph"/>
      </w:pPr>
      <w:r>
        <w:t xml:space="preserve">This Experiment Protocol provides a structured approach to evaluating sales strategies tailored for the Malaysia Kuala Lumpur market. By rigorously testing the new framework, the organization aims to empower its Sales Executives with tools and techniques that resonate with local clients, ultimately driving sustainable growth and competitive advantage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Malaysia Kuala Lumpur</dc:title>
  <dc:creator/>
  <dc:language>en</dc:language>
  <cp:keywords/>
  <dcterms:created xsi:type="dcterms:W3CDTF">2026-10-10T08:02:22Z</dcterms:created>
  <dcterms:modified xsi:type="dcterms:W3CDTF">2026-10-10T08:02:22Z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