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Yangon, Myanmar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different sales strategies employed by Sales Executives within the Yangon, Myanmar market. Yangon represents a unique economic landscape characterized by a blend of traditional commerce and rapidly expanding digital adoption. The local business culture places a high premium on relationship-building ("face") and trust, which significantly influences the sales cycle.</w:t>
      </w:r>
    </w:p>
    <w:p>
      <w:pPr>
        <w:pStyle w:val="BodyText"/>
      </w:pPr>
      <w:r>
        <w:t xml:space="preserve">The objective of this experiment is to determine which specific engagement models yield the highest conversion rates for B2B and B2C products in this region. By isolating variables such as communication channels, pricing structures, and cultural rapport techniques, we aim to provide data-driven recommendations for optimizing the performance of Sales Executives operating in Myanmar.</w:t>
      </w:r>
    </w:p>
    <w:bookmarkEnd w:id="21"/>
    <w:bookmarkStart w:id="22" w:name="objectives"/>
    <w:p>
      <w:pPr>
        <w:pStyle w:val="Heading2"/>
      </w:pPr>
      <w:r>
        <w:t xml:space="preserve">2. Objectives</w:t>
      </w:r>
    </w:p>
    <w:p>
      <w:pPr>
        <w:pStyle w:val="FirstParagraph"/>
      </w:pPr>
      <w:r>
        <w:t xml:space="preserve">The primary goals of this experiment are:</w:t>
      </w:r>
    </w:p>
    <w:p>
      <w:pPr>
        <w:numPr>
          <w:ilvl w:val="0"/>
          <w:numId w:val="1001"/>
        </w:numPr>
        <w:pStyle w:val="Compact"/>
      </w:pPr>
      <w:r>
        <w:t xml:space="preserve">To compare the efficacy of digital-first outreach versus traditional face-to-face meetings for Sales Executives in Yangon.</w:t>
      </w:r>
    </w:p>
    <w:p>
      <w:pPr>
        <w:numPr>
          <w:ilvl w:val="0"/>
          <w:numId w:val="1001"/>
        </w:numPr>
        <w:pStyle w:val="Compact"/>
      </w:pPr>
      <w:r>
        <w:t xml:space="preserve">To assess the impact of localized language proficiency (Burmese vs. English) on closing rates.</w:t>
      </w:r>
    </w:p>
    <w:p>
      <w:pPr>
        <w:numPr>
          <w:ilvl w:val="0"/>
          <w:numId w:val="1001"/>
        </w:numPr>
        <w:pStyle w:val="Compact"/>
      </w:pPr>
      <w:r>
        <w:t xml:space="preserve">To measure customer response times and engagement levels across different districts of Yangon (e.g., Sanchaung vs. Kamayut).</w:t>
      </w:r>
    </w:p>
    <w:p>
      <w:pPr>
        <w:numPr>
          <w:ilvl w:val="0"/>
          <w:numId w:val="1001"/>
        </w:numPr>
        <w:pStyle w:val="Compact"/>
      </w:pPr>
      <w:r>
        <w:t xml:space="preserve">To identify the most effective value propositions for the current economic climate in Myanmar.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A cohort of 60 Sales Executives will be recruited from three major multinational and local firms operating in Yangon. Participants will be randomly assigned to one of three experimental groups. The experiment will run for a period of 12 weeks to account for seasonal variations in the local market.</w:t>
      </w:r>
    </w:p>
    <w:bookmarkEnd w:id="23"/>
    <w:bookmarkStart w:id="24" w:name="experimental-groups"/>
    <w:p>
      <w:pPr>
        <w:pStyle w:val="Heading3"/>
      </w:pPr>
      <w:r>
        <w:t xml:space="preserve">3.2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 Description</w:t>
            </w:r>
          </w:p>
        </w:tc>
        <w:tc>
          <w:tcPr/>
          <w:p>
            <w:pPr>
              <w:pStyle w:val="Compact"/>
              <w:jc w:val="left"/>
            </w:pPr>
            <w:r>
              <w:t xml:space="preserve">Key Variables</w:t>
            </w:r>
          </w:p>
        </w:tc>
      </w:tr>
      <w:tr>
        <w:tc>
          <w:tcPr/>
          <w:p>
            <w:pPr>
              <w:pStyle w:val="Compact"/>
              <w:jc w:val="left"/>
            </w:pPr>
            <w:r>
              <w:rPr>
                <w:bCs/>
                <w:b/>
              </w:rPr>
              <w:t xml:space="preserve">Group A: Traditional Relationship</w:t>
            </w:r>
          </w:p>
        </w:tc>
        <w:tc>
          <w:tcPr/>
          <w:p>
            <w:pPr>
              <w:pStyle w:val="Compact"/>
              <w:jc w:val="left"/>
            </w:pPr>
            <w:r>
              <w:t xml:space="preserve">Focus on in-person meetings, tea shop networking, and physical gift-giving.</w:t>
            </w:r>
          </w:p>
        </w:tc>
        <w:tc>
          <w:tcPr/>
          <w:p>
            <w:pPr>
              <w:pStyle w:val="Compact"/>
              <w:jc w:val="left"/>
            </w:pPr>
            <w:r>
              <w:t xml:space="preserve">High touch, Burmese language, face-to-face interaction.</w:t>
            </w:r>
          </w:p>
        </w:tc>
      </w:tr>
      <w:tr>
        <w:tc>
          <w:tcPr/>
          <w:p>
            <w:pPr>
              <w:pStyle w:val="Compact"/>
              <w:jc w:val="left"/>
            </w:pPr>
            <w:r>
              <w:rPr>
                <w:bCs/>
                <w:b/>
              </w:rPr>
              <w:t xml:space="preserve">Group B: Digital Hybrid</w:t>
            </w:r>
          </w:p>
        </w:tc>
        <w:tc>
          <w:tcPr/>
          <w:p>
            <w:pPr>
              <w:pStyle w:val="Compact"/>
              <w:jc w:val="left"/>
            </w:pPr>
            <w:r>
              <w:t xml:space="preserve">Utilization of Facebook Messenger, Viber, and WhatsApp for initial contact, followed by meetings.</w:t>
            </w:r>
          </w:p>
        </w:tc>
        <w:tc>
          <w:tcPr/>
          <w:p>
            <w:pPr>
              <w:pStyle w:val="Compact"/>
              <w:jc w:val="left"/>
            </w:pPr>
            <w:r>
              <w:t xml:space="preserve">Medium touch, mixed language, digital-first approach.</w:t>
            </w:r>
          </w:p>
        </w:tc>
      </w:tr>
      <w:tr>
        <w:tc>
          <w:tcPr/>
          <w:p>
            <w:pPr>
              <w:pStyle w:val="Compact"/>
              <w:jc w:val="left"/>
            </w:pPr>
            <w:r>
              <w:rPr>
                <w:bCs/>
                <w:b/>
              </w:rPr>
              <w:t xml:space="preserve">Group C: Value-Based Direct</w:t>
            </w:r>
          </w:p>
        </w:tc>
        <w:tc>
          <w:tcPr/>
          <w:p>
            <w:pPr>
              <w:pStyle w:val="Compact"/>
              <w:jc w:val="left"/>
            </w:pPr>
            <w:r>
              <w:t xml:space="preserve">Direct email and LinkedIn outreach focusing strictly on ROI and technical specifications.</w:t>
            </w:r>
          </w:p>
        </w:tc>
        <w:tc>
          <w:tcPr/>
          <w:p>
            <w:pPr>
              <w:pStyle w:val="Compact"/>
              <w:jc w:val="left"/>
            </w:pPr>
            <w:r>
              <w:t xml:space="preserve">Low touch, English language, data-driven approach.</w:t>
            </w:r>
          </w:p>
        </w:tc>
      </w:tr>
    </w:tbl>
    <w:bookmarkEnd w:id="24"/>
    <w:bookmarkStart w:id="25" w:name="target-market"/>
    <w:p>
      <w:pPr>
        <w:pStyle w:val="Heading3"/>
      </w:pPr>
      <w:r>
        <w:t xml:space="preserve">3.3 Target Market</w:t>
      </w:r>
    </w:p>
    <w:p>
      <w:pPr>
        <w:pStyle w:val="FirstParagraph"/>
      </w:pPr>
      <w:r>
        <w:t xml:space="preserve">The target audience for the Sales Executives will be small to medium-sized enterprises (SMEs) and individual consumers located in Yangon. The selection will ensure a demographic spread across various socioeconomic statuses to reflect the diversity of the Yangon market.</w:t>
      </w:r>
    </w:p>
    <w:bookmarkEnd w:id="25"/>
    <w:bookmarkEnd w:id="26"/>
    <w:bookmarkStart w:id="30" w:name="procedures"/>
    <w:p>
      <w:pPr>
        <w:pStyle w:val="Heading2"/>
      </w:pPr>
      <w:r>
        <w:t xml:space="preserve">4. Procedures</w:t>
      </w:r>
    </w:p>
    <w:bookmarkStart w:id="27" w:name="recruitment-and-training"/>
    <w:p>
      <w:pPr>
        <w:pStyle w:val="Heading3"/>
      </w:pPr>
      <w:r>
        <w:t xml:space="preserve">4.1 Recruitment and Training</w:t>
      </w:r>
    </w:p>
    <w:p>
      <w:pPr>
        <w:pStyle w:val="FirstParagraph"/>
      </w:pPr>
      <w:r>
        <w:t xml:space="preserve">Sales Executives will be recruited based on similar experience levels (2-5 years) to minimize skill bias. Prior to the experiment, all participants will undergo a standardized training session to ensure they understand the product being sold. However, they will be instructed strictly to adhere to the communication protocols of their assigned group.</w:t>
      </w:r>
    </w:p>
    <w:bookmarkEnd w:id="27"/>
    <w:bookmarkStart w:id="28" w:name="execution-phase"/>
    <w:p>
      <w:pPr>
        <w:pStyle w:val="Heading3"/>
      </w:pPr>
      <w:r>
        <w:t xml:space="preserve">4.2 Execution Phase</w:t>
      </w:r>
    </w:p>
    <w:p>
      <w:pPr>
        <w:pStyle w:val="FirstParagraph"/>
      </w:pPr>
      <w:r>
        <w:t xml:space="preserve">During the 12-week period, Sales Executives will log every interaction in a centralized CRM system. The following data points must be recorded:</w:t>
      </w:r>
    </w:p>
    <w:p>
      <w:pPr>
        <w:numPr>
          <w:ilvl w:val="0"/>
          <w:numId w:val="1002"/>
        </w:numPr>
        <w:pStyle w:val="Compact"/>
      </w:pPr>
      <w:r>
        <w:t xml:space="preserve">Date and time of contact.</w:t>
      </w:r>
    </w:p>
    <w:p>
      <w:pPr>
        <w:numPr>
          <w:ilvl w:val="0"/>
          <w:numId w:val="1002"/>
        </w:numPr>
        <w:pStyle w:val="Compact"/>
      </w:pPr>
      <w:r>
        <w:t xml:space="preserve">Method of contact (e.g., Viber call, office visit).</w:t>
      </w:r>
    </w:p>
    <w:p>
      <w:pPr>
        <w:numPr>
          <w:ilvl w:val="0"/>
          <w:numId w:val="1002"/>
        </w:numPr>
        <w:pStyle w:val="Compact"/>
      </w:pPr>
      <w:r>
        <w:t xml:space="preserve">Language used.</w:t>
      </w:r>
    </w:p>
    <w:p>
      <w:pPr>
        <w:numPr>
          <w:ilvl w:val="0"/>
          <w:numId w:val="1002"/>
        </w:numPr>
        <w:pStyle w:val="Compact"/>
      </w:pPr>
      <w:r>
        <w:t xml:space="preserve">Customer feedback or objections.</w:t>
      </w:r>
    </w:p>
    <w:p>
      <w:pPr>
        <w:numPr>
          <w:ilvl w:val="0"/>
          <w:numId w:val="1002"/>
        </w:numPr>
        <w:pStyle w:val="Compact"/>
      </w:pPr>
      <w:r>
        <w:t xml:space="preserve">Outcome (Sale, Follow-up, Rejection).</w:t>
      </w:r>
    </w:p>
    <w:bookmarkEnd w:id="28"/>
    <w:bookmarkStart w:id="29" w:name="cultural-considerations"/>
    <w:p>
      <w:pPr>
        <w:pStyle w:val="Heading3"/>
      </w:pPr>
      <w:r>
        <w:t xml:space="preserve">4.3 Cultural Considerations</w:t>
      </w:r>
    </w:p>
    <w:p>
      <w:pPr>
        <w:pStyle w:val="FirstParagraph"/>
      </w:pPr>
      <w:r>
        <w:t xml:space="preserve">Given the location in Myanmar Yangon, the protocol mandates respect for local customs. For example, Group A participants must adhere to the "Hta-Myin" (respectful greeting) protocol. Furthermore, the experiment schedule will avoid major Buddhist holidays and full moon days, as business activity typically slows during these periods.</w:t>
      </w:r>
    </w:p>
    <w:bookmarkEnd w:id="29"/>
    <w:bookmarkEnd w:id="30"/>
    <w:bookmarkStart w:id="31" w:name="data-analysis"/>
    <w:p>
      <w:pPr>
        <w:pStyle w:val="Heading2"/>
      </w:pPr>
      <w:r>
        <w:t xml:space="preserve">5. Data Analysis</w:t>
      </w:r>
    </w:p>
    <w:p>
      <w:pPr>
        <w:pStyle w:val="FirstParagraph"/>
      </w:pPr>
      <w:r>
        <w:t xml:space="preserve">Data will be analyzed using statistical software to determine significant differences between the groups. Key Performance Indicators (KPIs) include:</w:t>
      </w:r>
    </w:p>
    <w:p>
      <w:pPr>
        <w:numPr>
          <w:ilvl w:val="0"/>
          <w:numId w:val="1003"/>
        </w:numPr>
        <w:pStyle w:val="Compact"/>
      </w:pPr>
      <w:r>
        <w:rPr>
          <w:bCs/>
          <w:b/>
        </w:rPr>
        <w:t xml:space="preserve">Conversion Rate:</w:t>
      </w:r>
      <w:r>
        <w:t xml:space="preserve"> </w:t>
      </w:r>
      <w:r>
        <w:t xml:space="preserve">Percentage of leads turned into paying customers.</w:t>
      </w:r>
    </w:p>
    <w:p>
      <w:pPr>
        <w:numPr>
          <w:ilvl w:val="0"/>
          <w:numId w:val="1003"/>
        </w:numPr>
        <w:pStyle w:val="Compact"/>
      </w:pPr>
      <w:r>
        <w:rPr>
          <w:bCs/>
          <w:b/>
        </w:rPr>
        <w:t xml:space="preserve">Average Deal Size:</w:t>
      </w:r>
      <w:r>
        <w:t xml:space="preserve"> </w:t>
      </w:r>
      <w:r>
        <w:t xml:space="preserve">Total revenue divided by the number of closed deals.</w:t>
      </w:r>
    </w:p>
    <w:p>
      <w:pPr>
        <w:numPr>
          <w:ilvl w:val="0"/>
          <w:numId w:val="1003"/>
        </w:numPr>
        <w:pStyle w:val="Compact"/>
      </w:pPr>
      <w:r>
        <w:rPr>
          <w:bCs/>
          <w:b/>
        </w:rPr>
        <w:t xml:space="preserve">Sales Cycle Length:</w:t>
      </w:r>
      <w:r>
        <w:t xml:space="preserve"> </w:t>
      </w:r>
      <w:r>
        <w:t xml:space="preserve">Average time from first contact to closed deal.</w:t>
      </w:r>
    </w:p>
    <w:p>
      <w:pPr>
        <w:numPr>
          <w:ilvl w:val="0"/>
          <w:numId w:val="1003"/>
        </w:numPr>
        <w:pStyle w:val="Compact"/>
      </w:pPr>
      <w:r>
        <w:rPr>
          <w:bCs/>
          <w:b/>
        </w:rPr>
        <w:t xml:space="preserve">Customer Satisfaction Score (CSAT):</w:t>
      </w:r>
      <w:r>
        <w:t xml:space="preserve"> </w:t>
      </w:r>
      <w:r>
        <w:t xml:space="preserve">Post-sale survey results.</w:t>
      </w:r>
    </w:p>
    <w:p>
      <w:pPr>
        <w:pStyle w:val="FirstParagraph"/>
      </w:pPr>
      <w:r>
        <w:t xml:space="preserve">We will specifically look for correlations between the use of the Burmese language and trust metrics, as well as the impact of digital fatigue on response rates in Yangon.</w:t>
      </w:r>
    </w:p>
    <w:bookmarkEnd w:id="31"/>
    <w:bookmarkStart w:id="32" w:name="ethical-considerations"/>
    <w:p>
      <w:pPr>
        <w:pStyle w:val="Heading2"/>
      </w:pPr>
      <w:r>
        <w:t xml:space="preserve">6. Ethical Considerations</w:t>
      </w:r>
    </w:p>
    <w:p>
      <w:pPr>
        <w:pStyle w:val="FirstParagraph"/>
      </w:pPr>
      <w:r>
        <w:t xml:space="preserve">This experiment adheres to strict ethical guidelines. All participants (Sales Executives and customers) will provide informed consent. Customer data will be anonymized to protect privacy in accordance with international data protection standards. No deceptive practices will be employed by the Sales Executives; all product claims must be factual.</w:t>
      </w:r>
    </w:p>
    <w:bookmarkEnd w:id="32"/>
    <w:bookmarkStart w:id="34" w:name="risk-management"/>
    <w:p>
      <w:pPr>
        <w:pStyle w:val="Heading2"/>
      </w:pPr>
      <w:r>
        <w:t xml:space="preserve">7. Risk Management</w:t>
      </w:r>
    </w:p>
    <w:bookmarkStart w:id="33" w:name="potential-risks-and-mitigation"/>
    <w:p>
      <w:pPr>
        <w:pStyle w:val="Heading3"/>
      </w:pPr>
      <w:r>
        <w:t xml:space="preserve">Potential Risks and Mitigation</w:t>
      </w:r>
    </w:p>
    <w:p>
      <w:pPr>
        <w:numPr>
          <w:ilvl w:val="0"/>
          <w:numId w:val="1004"/>
        </w:numPr>
        <w:pStyle w:val="Compact"/>
      </w:pPr>
      <w:r>
        <w:rPr>
          <w:bCs/>
          <w:b/>
        </w:rPr>
        <w:t xml:space="preserve">Internet Connectivity:</w:t>
      </w:r>
      <w:r>
        <w:t xml:space="preserve"> </w:t>
      </w:r>
      <w:r>
        <w:t xml:space="preserve">Yangon can experience intermittent internet outages.</w:t>
      </w:r>
      <w:r>
        <w:t xml:space="preserve"> </w:t>
      </w:r>
      <w:r>
        <w:rPr>
          <w:iCs/>
          <w:i/>
        </w:rPr>
        <w:t xml:space="preserve">Mitigation:</w:t>
      </w:r>
      <w:r>
        <w:t xml:space="preserve"> </w:t>
      </w:r>
      <w:r>
        <w:t xml:space="preserve">Group B and C protocols include offline backup procedures.</w:t>
      </w:r>
    </w:p>
    <w:p>
      <w:pPr>
        <w:numPr>
          <w:ilvl w:val="0"/>
          <w:numId w:val="1004"/>
        </w:numPr>
        <w:pStyle w:val="Compact"/>
      </w:pPr>
      <w:r>
        <w:rPr>
          <w:bCs/>
          <w:b/>
        </w:rPr>
        <w:t xml:space="preserve">Currency Fluctuation:</w:t>
      </w:r>
      <w:r>
        <w:t xml:space="preserve"> </w:t>
      </w:r>
      <w:r>
        <w:t xml:space="preserve">The value of the Myanmar Kyat (MMK) may fluctuate.</w:t>
      </w:r>
      <w:r>
        <w:t xml:space="preserve"> </w:t>
      </w:r>
      <w:r>
        <w:rPr>
          <w:iCs/>
          <w:i/>
        </w:rPr>
        <w:t xml:space="preserve">Mitigation:</w:t>
      </w:r>
      <w:r>
        <w:t xml:space="preserve"> </w:t>
      </w:r>
      <w:r>
        <w:t xml:space="preserve">Pricing will be standardized in USD equivalents for analysis purposes.</w:t>
      </w:r>
    </w:p>
    <w:p>
      <w:pPr>
        <w:numPr>
          <w:ilvl w:val="0"/>
          <w:numId w:val="1004"/>
        </w:numPr>
        <w:pStyle w:val="Compact"/>
      </w:pPr>
      <w:r>
        <w:rPr>
          <w:bCs/>
          <w:b/>
        </w:rPr>
        <w:t xml:space="preserve">Political Instability:</w:t>
      </w:r>
      <w:r>
        <w:t xml:space="preserve"> </w:t>
      </w:r>
      <w:r>
        <w:t xml:space="preserve">Local regulations may change.</w:t>
      </w:r>
      <w:r>
        <w:t xml:space="preserve"> </w:t>
      </w:r>
      <w:r>
        <w:rPr>
          <w:iCs/>
          <w:i/>
        </w:rPr>
        <w:t xml:space="preserve">Mitigation:</w:t>
      </w:r>
      <w:r>
        <w:t xml:space="preserve"> </w:t>
      </w:r>
      <w:r>
        <w:t xml:space="preserve">A legal advisor will monitor the situation weekly.</w:t>
      </w:r>
    </w:p>
    <w:bookmarkEnd w:id="33"/>
    <w:bookmarkEnd w:id="34"/>
    <w:bookmarkStart w:id="35" w:name="conclusion-and-reporting"/>
    <w:p>
      <w:pPr>
        <w:pStyle w:val="Heading2"/>
      </w:pPr>
      <w:r>
        <w:t xml:space="preserve">8. Conclusion and Reporting</w:t>
      </w:r>
    </w:p>
    <w:p>
      <w:pPr>
        <w:pStyle w:val="FirstParagraph"/>
      </w:pPr>
      <w:r>
        <w:t xml:space="preserve">Upon completion of the 12-week period, a comprehensive report will be generated. This report will detail the most effective strategies for Sales Executives in Myanmar Yangon. The findings will be presented to stakeholders to refine future sales training programs and market entry strategies. The ultimate goal is to create a scalable sales model that respects local culture while maximizing efficiency.</w:t>
      </w:r>
    </w:p>
    <w:bookmarkEnd w:id="35"/>
    <w:p>
      <w:pPr>
        <w:pStyle w:val="BodyText"/>
      </w:pPr>
      <w:r>
        <w:rPr>
          <w:iCs/>
          <w:i/>
        </w:rPr>
        <w:t xml:space="preserve">End of Experiment Protocol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Myanmar Yangon</dc:title>
  <dc:creator/>
  <dc:language>en</dc:language>
  <cp:keywords/>
  <dcterms:created xsi:type="dcterms:W3CDTF">2026-10-10T02:10:07Z</dcterms:created>
  <dcterms:modified xsi:type="dcterms:W3CDTF">2026-10-10T02:10:07Z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