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Amsterdam</w:t>
      </w:r>
    </w:p>
    <w:bookmarkStart w:id="34" w:name="X63b9dbd304a1765c08818f3c3797401fd78431e"/>
    <w:p>
      <w:pPr>
        <w:pStyle w:val="Heading1"/>
      </w:pPr>
      <w:r>
        <w:t xml:space="preserve">Experiment Protocol: Sales Executive Performance Optimization</w:t>
      </w:r>
    </w:p>
    <w:p>
      <w:pPr>
        <w:pStyle w:val="FirstParagraph"/>
      </w:pPr>
      <w:r>
        <w:rPr>
          <w:bCs/>
          <w:b/>
        </w:rPr>
        <w:t xml:space="preserve">Document ID:</w:t>
      </w:r>
      <w:r>
        <w:t xml:space="preserve"> </w:t>
      </w:r>
      <w:r>
        <w:t xml:space="preserve">EXP-AMST-SE-2024-001</w:t>
      </w:r>
    </w:p>
    <w:p>
      <w:pPr>
        <w:pStyle w:val="BodyText"/>
      </w:pPr>
      <w:r>
        <w:rPr>
          <w:bCs/>
          <w:b/>
        </w:rPr>
        <w:t xml:space="preserve">Location:</w:t>
      </w:r>
      <w:r>
        <w:t xml:space="preserve"> </w:t>
      </w:r>
      <w:r>
        <w:t xml:space="preserve">Netherlands Amsterdam</w:t>
      </w:r>
    </w:p>
    <w:p>
      <w:pPr>
        <w:pStyle w:val="BodyText"/>
      </w:pPr>
      <w:r>
        <w:rPr>
          <w:bCs/>
          <w:b/>
        </w:rPr>
        <w:t xml:space="preserve">Target Role:</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business landscape in</w:t>
      </w:r>
      <w:r>
        <w:t xml:space="preserve"> </w:t>
      </w:r>
      <w:r>
        <w:rPr>
          <w:bCs/>
          <w:b/>
        </w:rPr>
        <w:t xml:space="preserve">Netherlands Amsterdam</w:t>
      </w:r>
      <w:r>
        <w:t xml:space="preserve"> </w:t>
      </w:r>
      <w:r>
        <w:t xml:space="preserve">is characterized by high digital adoption, a multilingual workforce, and a distinct cultural preference for directness and consensus. For a</w:t>
      </w:r>
      <w:r>
        <w:t xml:space="preserve"> </w:t>
      </w:r>
      <w:r>
        <w:rPr>
          <w:bCs/>
          <w:b/>
        </w:rPr>
        <w:t xml:space="preserve">Sales Executive</w:t>
      </w:r>
      <w:r>
        <w:t xml:space="preserve"> </w:t>
      </w:r>
      <w:r>
        <w:t xml:space="preserve">operating in this region, traditional high-pressure sales tactics often yield diminishing returns. This</w:t>
      </w:r>
      <w:r>
        <w:t xml:space="preserve"> </w:t>
      </w:r>
      <w:r>
        <w:rPr>
          <w:bCs/>
          <w:b/>
        </w:rPr>
        <w:t xml:space="preserve">Experiment Protocol</w:t>
      </w:r>
      <w:r>
        <w:t xml:space="preserve"> </w:t>
      </w:r>
      <w:r>
        <w:t xml:space="preserve">is designed to test the efficacy of a "Consultative Relationship-First" methodology versus a "Product-Centric Efficiency" methodology.</w:t>
      </w:r>
    </w:p>
    <w:p>
      <w:pPr>
        <w:pStyle w:val="BodyText"/>
      </w:pPr>
      <w:r>
        <w:t xml:space="preserve">The primary objective is to determine which approach generates higher conversion rates and customer lifetime value (CLV) specifically within the Amsterdam metropolitan area. By isolating variables related to communication style and meeting cadence, we aim to provide data-driven insights for the regional sales strategy.</w:t>
      </w:r>
    </w:p>
    <w:bookmarkEnd w:id="20"/>
    <w:bookmarkStart w:id="21" w:name="objectives"/>
    <w:p>
      <w:pPr>
        <w:pStyle w:val="Heading2"/>
      </w:pPr>
      <w:r>
        <w:t xml:space="preserve">2. Objectives</w:t>
      </w:r>
    </w:p>
    <w:p>
      <w:pPr>
        <w:pStyle w:val="FirstParagraph"/>
      </w:pPr>
      <w:r>
        <w:t xml:space="preserve">This</w:t>
      </w:r>
      <w:r>
        <w:t xml:space="preserve"> </w:t>
      </w:r>
      <w:r>
        <w:rPr>
          <w:bCs/>
          <w:b/>
        </w:rPr>
        <w:t xml:space="preserve">Experiment Protocol</w:t>
      </w:r>
      <w:r>
        <w:t xml:space="preserve"> </w:t>
      </w:r>
      <w:r>
        <w:t xml:space="preserve">seeks to answer the following core questions regarding the</w:t>
      </w:r>
      <w:r>
        <w:t xml:space="preserve"> </w:t>
      </w:r>
      <w:r>
        <w:rPr>
          <w:bCs/>
          <w:b/>
        </w:rPr>
        <w:t xml:space="preserve">Sales Executive</w:t>
      </w:r>
      <w:r>
        <w:t xml:space="preserve"> </w:t>
      </w:r>
      <w:r>
        <w:t xml:space="preserve">role in</w:t>
      </w:r>
      <w:r>
        <w:t xml:space="preserve"> </w:t>
      </w:r>
      <w:r>
        <w:rPr>
          <w:bCs/>
          <w:b/>
        </w:rPr>
        <w:t xml:space="preserve">Netherlands Amsterdam</w:t>
      </w:r>
      <w:r>
        <w:t xml:space="preserve">:</w:t>
      </w:r>
    </w:p>
    <w:p>
      <w:pPr>
        <w:numPr>
          <w:ilvl w:val="0"/>
          <w:numId w:val="1001"/>
        </w:numPr>
        <w:pStyle w:val="Compact"/>
      </w:pPr>
      <w:r>
        <w:t xml:space="preserve">Does a consultative approach (focusing on client pain points and long-term partnership) outperform a product-centric approach (focusing on features and immediate ROI) in the Amsterdam market?</w:t>
      </w:r>
    </w:p>
    <w:p>
      <w:pPr>
        <w:numPr>
          <w:ilvl w:val="0"/>
          <w:numId w:val="1001"/>
        </w:numPr>
        <w:pStyle w:val="Compact"/>
      </w:pPr>
      <w:r>
        <w:t xml:space="preserve">How does the timing of follow-up communications impact response rates among Dutch business professionals?</w:t>
      </w:r>
    </w:p>
    <w:p>
      <w:pPr>
        <w:numPr>
          <w:ilvl w:val="0"/>
          <w:numId w:val="1001"/>
        </w:numPr>
        <w:pStyle w:val="Compact"/>
      </w:pPr>
      <w:r>
        <w:t xml:space="preserve">What is the impact of language preference (English vs. Dutch) on the closing rate for international vs. local clients?</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We will utilize a randomized controlled trial (RCT) design. The target population consists of qualified leads within the technology and logistics sectors in</w:t>
      </w:r>
      <w:r>
        <w:t xml:space="preserve"> </w:t>
      </w:r>
      <w:r>
        <w:rPr>
          <w:bCs/>
          <w:b/>
        </w:rPr>
        <w:t xml:space="preserve">Netherlands Amsterdam</w:t>
      </w:r>
      <w:r>
        <w:t xml:space="preserve">. The</w:t>
      </w:r>
      <w:r>
        <w:t xml:space="preserve"> </w:t>
      </w:r>
      <w:r>
        <w:rPr>
          <w:bCs/>
          <w:b/>
        </w:rPr>
        <w:t xml:space="preserve">Sales Executive</w:t>
      </w:r>
      <w:r>
        <w:t xml:space="preserve"> </w:t>
      </w:r>
      <w:r>
        <w:t xml:space="preserve">participants will be divided into two distinct cohorts.</w:t>
      </w:r>
    </w:p>
    <w:bookmarkEnd w:id="22"/>
    <w:bookmarkStart w:id="23" w:name="participant-selection"/>
    <w:p>
      <w:pPr>
        <w:pStyle w:val="Heading3"/>
      </w:pPr>
      <w:r>
        <w:t xml:space="preserve">3.2 Participant Selection</w:t>
      </w:r>
    </w:p>
    <w:p>
      <w:pPr>
        <w:pStyle w:val="FirstParagraph"/>
      </w:pPr>
      <w:r>
        <w:rPr>
          <w:bCs/>
          <w:b/>
        </w:rPr>
        <w:t xml:space="preserve">Sales Executives:</w:t>
      </w:r>
      <w:r>
        <w:t xml:space="preserve"> </w:t>
      </w:r>
      <w:r>
        <w:t xml:space="preserve">Ten mid-level</w:t>
      </w:r>
      <w:r>
        <w:t xml:space="preserve"> </w:t>
      </w:r>
      <w:r>
        <w:rPr>
          <w:bCs/>
          <w:b/>
        </w:rPr>
        <w:t xml:space="preserve">Sales Executives</w:t>
      </w:r>
      <w:r>
        <w:t xml:space="preserve"> </w:t>
      </w:r>
      <w:r>
        <w:t xml:space="preserve">currently based in Amsterdam will be selected. They must have at least two years of experience in the region to ensure familiarity with local business etiquette.</w:t>
      </w:r>
    </w:p>
    <w:p>
      <w:pPr>
        <w:pStyle w:val="BodyText"/>
      </w:pPr>
      <w:r>
        <w:rPr>
          <w:bCs/>
          <w:b/>
        </w:rPr>
        <w:t xml:space="preserve">Leads:</w:t>
      </w:r>
      <w:r>
        <w:t xml:space="preserve"> </w:t>
      </w:r>
      <w:r>
        <w:t xml:space="preserve">Two hundred qualified leads will be sourced. These leads will be matched based on company size, industry, and decision-maker seniority to ensure parity between groups.</w:t>
      </w:r>
    </w:p>
    <w:bookmarkEnd w:id="23"/>
    <w:bookmarkStart w:id="24" w:name="group-allocation"/>
    <w:p>
      <w:pPr>
        <w:pStyle w:val="Heading3"/>
      </w:pPr>
      <w:r>
        <w:t xml:space="preserve">3.3 Group Allocation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Methodology</w:t>
            </w:r>
          </w:p>
        </w:tc>
        <w:tc>
          <w:tcPr/>
          <w:p>
            <w:pPr>
              <w:pStyle w:val="Compact"/>
              <w:jc w:val="left"/>
            </w:pPr>
            <w:r>
              <w:t xml:space="preserve">Key Tactics</w:t>
            </w:r>
          </w:p>
        </w:tc>
      </w:tr>
      <w:tr>
        <w:tc>
          <w:tcPr/>
          <w:p>
            <w:pPr>
              <w:pStyle w:val="Compact"/>
              <w:jc w:val="left"/>
            </w:pPr>
            <w:r>
              <w:rPr>
                <w:bCs/>
                <w:b/>
              </w:rPr>
              <w:t xml:space="preserve">Control Group (A)</w:t>
            </w:r>
          </w:p>
        </w:tc>
        <w:tc>
          <w:tcPr/>
          <w:p>
            <w:pPr>
              <w:pStyle w:val="Compact"/>
              <w:jc w:val="left"/>
            </w:pPr>
            <w:r>
              <w:t xml:space="preserve">Product-Centric Efficiency</w:t>
            </w:r>
          </w:p>
        </w:tc>
        <w:tc>
          <w:tcPr/>
          <w:p>
            <w:pPr>
              <w:numPr>
                <w:ilvl w:val="0"/>
                <w:numId w:val="1002"/>
              </w:numPr>
              <w:pStyle w:val="Compact"/>
              <w:jc w:val="left"/>
            </w:pPr>
            <w:r>
              <w:t xml:space="preserve">Standardized pitch deck focusing on features.</w:t>
            </w:r>
          </w:p>
          <w:p>
            <w:pPr>
              <w:numPr>
                <w:ilvl w:val="0"/>
                <w:numId w:val="1002"/>
              </w:numPr>
              <w:pStyle w:val="Compact"/>
              <w:jc w:val="left"/>
            </w:pPr>
            <w:r>
              <w:t xml:space="preserve">Short, frequent follow-ups (every 2 days).</w:t>
            </w:r>
          </w:p>
          <w:p>
            <w:pPr>
              <w:numPr>
                <w:ilvl w:val="0"/>
                <w:numId w:val="1002"/>
              </w:numPr>
              <w:pStyle w:val="Compact"/>
              <w:jc w:val="left"/>
            </w:pPr>
            <w:r>
              <w:t xml:space="preserve">Focus on immediate closing incentives.</w:t>
            </w:r>
          </w:p>
        </w:tc>
      </w:tr>
      <w:tr>
        <w:tc>
          <w:tcPr/>
          <w:p>
            <w:pPr>
              <w:pStyle w:val="Compact"/>
              <w:jc w:val="left"/>
            </w:pPr>
            <w:r>
              <w:rPr>
                <w:bCs/>
                <w:b/>
              </w:rPr>
              <w:t xml:space="preserve">Experimental Group (B)</w:t>
            </w:r>
          </w:p>
        </w:tc>
        <w:tc>
          <w:tcPr/>
          <w:p>
            <w:pPr>
              <w:pStyle w:val="Compact"/>
              <w:jc w:val="left"/>
            </w:pPr>
            <w:r>
              <w:t xml:space="preserve">Consultative Relationship-First</w:t>
            </w:r>
          </w:p>
        </w:tc>
        <w:tc>
          <w:tcPr/>
          <w:p>
            <w:pPr>
              <w:numPr>
                <w:ilvl w:val="0"/>
                <w:numId w:val="1003"/>
              </w:numPr>
              <w:pStyle w:val="Compact"/>
              <w:jc w:val="left"/>
            </w:pPr>
            <w:r>
              <w:t xml:space="preserve">Discovery-focused initial meetings (no pitch).</w:t>
            </w:r>
          </w:p>
          <w:p>
            <w:pPr>
              <w:numPr>
                <w:ilvl w:val="0"/>
                <w:numId w:val="1003"/>
              </w:numPr>
              <w:pStyle w:val="Compact"/>
              <w:jc w:val="left"/>
            </w:pPr>
            <w:r>
              <w:t xml:space="preserve">Personalized follow-ups based on client industry trends in Amsterdam.</w:t>
            </w:r>
          </w:p>
          <w:p>
            <w:pPr>
              <w:numPr>
                <w:ilvl w:val="0"/>
                <w:numId w:val="1003"/>
              </w:numPr>
              <w:pStyle w:val="Compact"/>
              <w:jc w:val="left"/>
            </w:pPr>
            <w:r>
              <w:t xml:space="preserve">Focus on long-term value and cultural alignment.</w:t>
            </w:r>
          </w:p>
        </w:tc>
      </w:tr>
    </w:tbl>
    <w:bookmarkEnd w:id="24"/>
    <w:bookmarkEnd w:id="25"/>
    <w:bookmarkStart w:id="29" w:name="procedure"/>
    <w:p>
      <w:pPr>
        <w:pStyle w:val="Heading2"/>
      </w:pPr>
      <w:r>
        <w:t xml:space="preserve">4. Procedure</w:t>
      </w:r>
    </w:p>
    <w:bookmarkStart w:id="26" w:name="phase-1-training-and-calibration"/>
    <w:p>
      <w:pPr>
        <w:pStyle w:val="Heading3"/>
      </w:pPr>
      <w:r>
        <w:t xml:space="preserve">4.1 Phase 1: Training and Calibration</w:t>
      </w:r>
    </w:p>
    <w:p>
      <w:pPr>
        <w:pStyle w:val="FirstParagraph"/>
      </w:pPr>
      <w:r>
        <w:t xml:space="preserve">Before the experiment begins, all</w:t>
      </w:r>
      <w:r>
        <w:t xml:space="preserve"> </w:t>
      </w:r>
      <w:r>
        <w:rPr>
          <w:bCs/>
          <w:b/>
        </w:rPr>
        <w:t xml:space="preserve">Sales Executives</w:t>
      </w:r>
      <w:r>
        <w:t xml:space="preserve"> </w:t>
      </w:r>
      <w:r>
        <w:t xml:space="preserve">will undergo a two-day training workshop in Amsterdam. Group A will be trained on efficiency scripts and objection handling. Group B will be trained on active listening, local market intelligence, and consultative questioning techniques. This ensures that the</w:t>
      </w:r>
      <w:r>
        <w:t xml:space="preserve"> </w:t>
      </w:r>
      <w:r>
        <w:rPr>
          <w:bCs/>
          <w:b/>
        </w:rPr>
        <w:t xml:space="preserve">Sales Executive</w:t>
      </w:r>
      <w:r>
        <w:t xml:space="preserve"> </w:t>
      </w:r>
      <w:r>
        <w:t xml:space="preserve">is executing the specific protocol assigned to them.</w:t>
      </w:r>
    </w:p>
    <w:bookmarkEnd w:id="26"/>
    <w:bookmarkStart w:id="27" w:name="phase-2-execution"/>
    <w:p>
      <w:pPr>
        <w:pStyle w:val="Heading3"/>
      </w:pPr>
      <w:r>
        <w:t xml:space="preserve">4.2 Phase 2: Execution</w:t>
      </w:r>
    </w:p>
    <w:p>
      <w:pPr>
        <w:pStyle w:val="FirstParagraph"/>
      </w:pPr>
      <w:r>
        <w:t xml:space="preserve">The experiment will run for a period of six weeks. During this time, the</w:t>
      </w:r>
      <w:r>
        <w:t xml:space="preserve"> </w:t>
      </w:r>
      <w:r>
        <w:rPr>
          <w:bCs/>
          <w:b/>
        </w:rPr>
        <w:t xml:space="preserve">Sales Executive</w:t>
      </w:r>
      <w:r>
        <w:t xml:space="preserve"> </w:t>
      </w:r>
      <w:r>
        <w:t xml:space="preserve">must adhere strictly to their assigned methodology.</w:t>
      </w:r>
    </w:p>
    <w:p>
      <w:pPr>
        <w:numPr>
          <w:ilvl w:val="0"/>
          <w:numId w:val="1004"/>
        </w:numPr>
        <w:pStyle w:val="Compact"/>
      </w:pPr>
      <w:r>
        <w:rPr>
          <w:bCs/>
          <w:b/>
        </w:rPr>
        <w:t xml:space="preserve">Initial Contact:</w:t>
      </w:r>
      <w:r>
        <w:t xml:space="preserve"> </w:t>
      </w:r>
      <w:r>
        <w:t xml:space="preserve">All contacts must be logged in the CRM within one hour of interaction.</w:t>
      </w:r>
    </w:p>
    <w:p>
      <w:pPr>
        <w:numPr>
          <w:ilvl w:val="0"/>
          <w:numId w:val="1004"/>
        </w:numPr>
        <w:pStyle w:val="Compact"/>
      </w:pPr>
      <w:r>
        <w:rPr>
          <w:bCs/>
          <w:b/>
        </w:rPr>
        <w:t xml:space="preserve">Meetings:</w:t>
      </w:r>
      <w:r>
        <w:t xml:space="preserve"> </w:t>
      </w:r>
      <w:r>
        <w:t xml:space="preserve">Meetings must be conducted either in person in Amsterdam or via video conference. Phone-only interactions are excluded to ensure non-verbal cues are captured.</w:t>
      </w:r>
    </w:p>
    <w:p>
      <w:pPr>
        <w:numPr>
          <w:ilvl w:val="0"/>
          <w:numId w:val="1004"/>
        </w:numPr>
        <w:pStyle w:val="Compact"/>
      </w:pPr>
      <w:r>
        <w:rPr>
          <w:bCs/>
          <w:b/>
        </w:rPr>
        <w:t xml:space="preserve">Communication:</w:t>
      </w:r>
      <w:r>
        <w:t xml:space="preserve"> </w:t>
      </w:r>
      <w:r>
        <w:t xml:space="preserve">Group A will use templated emails. Group B will draft personalized emails referencing specific Amsterdam market conditions or local news relevant to the client.</w:t>
      </w:r>
    </w:p>
    <w:bookmarkEnd w:id="27"/>
    <w:bookmarkStart w:id="28" w:name="phase-3-data-collection"/>
    <w:p>
      <w:pPr>
        <w:pStyle w:val="Heading3"/>
      </w:pPr>
      <w:r>
        <w:t xml:space="preserve">4.3 Phase 3: Data Collection</w:t>
      </w:r>
    </w:p>
    <w:p>
      <w:pPr>
        <w:pStyle w:val="FirstParagraph"/>
      </w:pPr>
      <w:r>
        <w:t xml:space="preserve">Data will be collected continuously throughout the six-week period. Key metrics include:</w:t>
      </w:r>
    </w:p>
    <w:p>
      <w:pPr>
        <w:numPr>
          <w:ilvl w:val="0"/>
          <w:numId w:val="1005"/>
        </w:numPr>
        <w:pStyle w:val="Compact"/>
      </w:pPr>
      <w:r>
        <w:t xml:space="preserve">Number of meetings booked.</w:t>
      </w:r>
    </w:p>
    <w:p>
      <w:pPr>
        <w:numPr>
          <w:ilvl w:val="0"/>
          <w:numId w:val="1005"/>
        </w:numPr>
        <w:pStyle w:val="Compact"/>
      </w:pPr>
      <w:r>
        <w:t xml:space="preserve">Duration of sales cycle.</w:t>
      </w:r>
    </w:p>
    <w:p>
      <w:pPr>
        <w:numPr>
          <w:ilvl w:val="0"/>
          <w:numId w:val="1005"/>
        </w:numPr>
        <w:pStyle w:val="Compact"/>
      </w:pPr>
      <w:r>
        <w:t xml:space="preserve">Conversion rate from lead to opportunity.</w:t>
      </w:r>
    </w:p>
    <w:p>
      <w:pPr>
        <w:numPr>
          <w:ilvl w:val="0"/>
          <w:numId w:val="1005"/>
        </w:numPr>
        <w:pStyle w:val="Compact"/>
      </w:pPr>
      <w:r>
        <w:t xml:space="preserve">Conversion rate from opportunity to closed-won.</w:t>
      </w:r>
    </w:p>
    <w:p>
      <w:pPr>
        <w:numPr>
          <w:ilvl w:val="0"/>
          <w:numId w:val="1005"/>
        </w:numPr>
        <w:pStyle w:val="Compact"/>
      </w:pPr>
      <w:r>
        <w:t xml:space="preserve">Customer satisfaction score (CSAT) post-interaction.</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General Data Protection Regulation (GDPR), which is strictly enforced in the</w:t>
      </w:r>
      <w:r>
        <w:t xml:space="preserve"> </w:t>
      </w:r>
      <w:r>
        <w:rPr>
          <w:bCs/>
          <w:b/>
        </w:rPr>
        <w:t xml:space="preserve">Netherlands Amsterdam</w:t>
      </w:r>
      <w:r>
        <w:t xml:space="preserve"> </w:t>
      </w:r>
      <w:r>
        <w:t xml:space="preserve">region.</w:t>
      </w:r>
    </w:p>
    <w:p>
      <w:pPr>
        <w:numPr>
          <w:ilvl w:val="0"/>
          <w:numId w:val="1006"/>
        </w:numPr>
        <w:pStyle w:val="Compact"/>
      </w:pPr>
      <w:r>
        <w:t xml:space="preserve">All client data will be anonymized for analysis.</w:t>
      </w:r>
    </w:p>
    <w:p>
      <w:pPr>
        <w:numPr>
          <w:ilvl w:val="0"/>
          <w:numId w:val="1006"/>
        </w:numPr>
        <w:pStyle w:val="Compact"/>
      </w:pPr>
      <w:r>
        <w:t xml:space="preserve">Participants (</w:t>
      </w:r>
      <w:r>
        <w:rPr>
          <w:bCs/>
          <w:b/>
        </w:rPr>
        <w:t xml:space="preserve">Sales Executives</w:t>
      </w:r>
      <w:r>
        <w:t xml:space="preserve">) will be informed of the experiment's nature but will not be told which group is hypothesized to perform better to prevent bias.</w:t>
      </w:r>
    </w:p>
    <w:p>
      <w:pPr>
        <w:numPr>
          <w:ilvl w:val="0"/>
          <w:numId w:val="1006"/>
        </w:numPr>
        <w:pStyle w:val="Compact"/>
      </w:pPr>
      <w:r>
        <w:t xml:space="preserve">Client interactions will remain professional and transparent; clients will not be informed they are part of an experiment to avoid altering their natural behavior.</w:t>
      </w:r>
    </w:p>
    <w:bookmarkEnd w:id="30"/>
    <w:bookmarkStart w:id="31" w:name="risk-management"/>
    <w:p>
      <w:pPr>
        <w:pStyle w:val="Heading2"/>
      </w:pPr>
      <w:r>
        <w:t xml:space="preserve">6. Risk Management</w:t>
      </w:r>
    </w:p>
    <w:p>
      <w:pPr>
        <w:pStyle w:val="FirstParagraph"/>
      </w:pPr>
      <w:r>
        <w:t xml:space="preserve">Potential risks include</w:t>
      </w:r>
      <w:r>
        <w:t xml:space="preserve"> </w:t>
      </w:r>
      <w:r>
        <w:rPr>
          <w:bCs/>
          <w:b/>
        </w:rPr>
        <w:t xml:space="preserve">Sales Executive</w:t>
      </w:r>
      <w:r>
        <w:t xml:space="preserve"> </w:t>
      </w:r>
      <w:r>
        <w:t xml:space="preserve">burnout due to the rigorous tracking requirements or negative client feedback if the Control Group's aggressive tactics are perceived as intrusive. To mitigate this, weekly check-ins will be held to monitor team morale. If the Control Group's approach results in a significant number of client complaints, the protocol allows for an early termination of that specific arm of the experiment.</w:t>
      </w:r>
    </w:p>
    <w:bookmarkEnd w:id="31"/>
    <w:bookmarkStart w:id="32" w:name="analysis-and-reporting"/>
    <w:p>
      <w:pPr>
        <w:pStyle w:val="Heading2"/>
      </w:pPr>
      <w:r>
        <w:t xml:space="preserve">7. Analysis and Reporting</w:t>
      </w:r>
    </w:p>
    <w:p>
      <w:pPr>
        <w:pStyle w:val="FirstParagraph"/>
      </w:pPr>
      <w:r>
        <w:t xml:space="preserve">Upon completion of the six-week period, the data will be analyzed using statistical methods to determine significance. We will compare the performance of the</w:t>
      </w:r>
      <w:r>
        <w:t xml:space="preserve"> </w:t>
      </w:r>
      <w:r>
        <w:rPr>
          <w:bCs/>
          <w:b/>
        </w:rPr>
        <w:t xml:space="preserve">Sales Executive</w:t>
      </w:r>
      <w:r>
        <w:t xml:space="preserve"> </w:t>
      </w:r>
      <w:r>
        <w:t xml:space="preserve">cohorts. Special attention will be paid to the cultural nuances of</w:t>
      </w:r>
      <w:r>
        <w:t xml:space="preserve"> </w:t>
      </w:r>
      <w:r>
        <w:rPr>
          <w:bCs/>
          <w:b/>
        </w:rPr>
        <w:t xml:space="preserve">Netherlands Amsterdam</w:t>
      </w:r>
      <w:r>
        <w:t xml:space="preserve">; for instance, if Group B performs better, we will analyze if this is due to the consultative nature or the localized content of the communications.</w:t>
      </w:r>
    </w:p>
    <w:p>
      <w:pPr>
        <w:pStyle w:val="BodyText"/>
      </w:pPr>
      <w:r>
        <w:t xml:space="preserve">A final report will be generated, detailing the success rates of each methodology. This report will serve as the basis for updating the standard operating procedures for all</w:t>
      </w:r>
      <w:r>
        <w:t xml:space="preserve"> </w:t>
      </w:r>
      <w:r>
        <w:rPr>
          <w:bCs/>
          <w:b/>
        </w:rPr>
        <w:t xml:space="preserve">Sales Executives</w:t>
      </w:r>
      <w:r>
        <w:t xml:space="preserve"> </w:t>
      </w:r>
      <w:r>
        <w:t xml:space="preserve">operating in the Amsterdam region.</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framework to evaluate sales strategies in a specific, culturally rich environment. By rigorously testing the approaches of the</w:t>
      </w:r>
      <w:r>
        <w:t xml:space="preserve"> </w:t>
      </w:r>
      <w:r>
        <w:rPr>
          <w:bCs/>
          <w:b/>
        </w:rPr>
        <w:t xml:space="preserve">Sales Executive</w:t>
      </w:r>
      <w:r>
        <w:t xml:space="preserve"> </w:t>
      </w:r>
      <w:r>
        <w:t xml:space="preserve">in</w:t>
      </w:r>
      <w:r>
        <w:t xml:space="preserve"> </w:t>
      </w:r>
      <w:r>
        <w:rPr>
          <w:bCs/>
          <w:b/>
        </w:rPr>
        <w:t xml:space="preserve">Netherlands Amsterdam</w:t>
      </w:r>
      <w:r>
        <w:t xml:space="preserve">, the organization can move beyond anecdotal evidence and adopt a strategy that is scientifically proven to resonate with local business leaders.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Amsterdam</dc:title>
  <dc:creator/>
  <dc:language>en</dc:language>
  <cp:keywords/>
  <dcterms:created xsi:type="dcterms:W3CDTF">2026-10-10T08:27:40Z</dcterms:created>
  <dcterms:modified xsi:type="dcterms:W3CDTF">2026-10-10T08:27:40Z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